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F841C" w14:textId="77777777" w:rsidR="005B042A" w:rsidRDefault="005B042A">
      <w:pPr>
        <w:widowControl w:val="0"/>
        <w:spacing w:before="320" w:after="320" w:line="240" w:lineRule="auto"/>
        <w:rPr>
          <w:rFonts w:ascii="Google Sans" w:eastAsia="Google Sans" w:hAnsi="Google Sans" w:cs="Google Sans"/>
          <w:i/>
          <w:iCs/>
          <w:color w:val="808080"/>
        </w:rPr>
      </w:pPr>
    </w:p>
    <w:p w14:paraId="34FBF440" w14:textId="77777777" w:rsidR="005B042A" w:rsidRDefault="0072378B">
      <w:pPr>
        <w:pStyle w:val="Ttulo1"/>
        <w:keepNext w:val="0"/>
        <w:keepLines w:val="0"/>
        <w:widowControl w:val="0"/>
        <w:spacing w:before="0" w:after="320" w:line="240" w:lineRule="auto"/>
        <w:jc w:val="center"/>
        <w:rPr>
          <w:rFonts w:ascii="Google Sans" w:eastAsia="Google Sans" w:hAnsi="Google Sans" w:cs="Google Sans"/>
          <w:b/>
          <w:bCs/>
          <w:color w:val="0000FF"/>
          <w:sz w:val="48"/>
          <w:szCs w:val="48"/>
        </w:rPr>
      </w:pPr>
      <w:r>
        <w:rPr>
          <w:rFonts w:ascii="Google Sans" w:eastAsia="Google Sans" w:hAnsi="Google Sans" w:cs="Google Sans"/>
          <w:b/>
          <w:bCs/>
          <w:color w:val="0000FF"/>
          <w:sz w:val="48"/>
          <w:szCs w:val="48"/>
        </w:rPr>
        <w:t xml:space="preserve">GUÍA DE APRENDIZAJE: </w:t>
      </w:r>
    </w:p>
    <w:p w14:paraId="40D5F911" w14:textId="77777777" w:rsidR="005B042A" w:rsidRDefault="0072378B">
      <w:pPr>
        <w:pStyle w:val="Ttulo1"/>
        <w:keepNext w:val="0"/>
        <w:keepLines w:val="0"/>
        <w:widowControl w:val="0"/>
        <w:spacing w:before="0" w:after="320" w:line="240" w:lineRule="auto"/>
        <w:jc w:val="center"/>
        <w:rPr>
          <w:rFonts w:ascii="Google Sans" w:eastAsia="Google Sans" w:hAnsi="Google Sans" w:cs="Google Sans"/>
          <w:b/>
          <w:bCs/>
          <w:color w:val="0000FF"/>
          <w:sz w:val="48"/>
          <w:szCs w:val="48"/>
        </w:rPr>
      </w:pPr>
      <w:r>
        <w:rPr>
          <w:rFonts w:ascii="Google Sans" w:eastAsia="Google Sans" w:hAnsi="Google Sans" w:cs="Google Sans"/>
          <w:b/>
          <w:bCs/>
          <w:color w:val="0000FF"/>
          <w:sz w:val="48"/>
          <w:szCs w:val="48"/>
        </w:rPr>
        <w:t>DERECHO COMERCIAL</w:t>
      </w:r>
    </w:p>
    <w:p w14:paraId="6BC0D565" w14:textId="77777777" w:rsidR="005B042A" w:rsidRDefault="0072378B">
      <w:pPr>
        <w:widowControl w:val="0"/>
        <w:spacing w:after="320" w:line="240" w:lineRule="auto"/>
        <w:rPr>
          <w:rFonts w:ascii="Google Sans" w:eastAsia="Google Sans" w:hAnsi="Google Sans" w:cs="Google Sans"/>
        </w:rPr>
      </w:pPr>
      <w:r>
        <w:rPr>
          <w:rFonts w:ascii="Google Sans" w:eastAsia="Google Sans" w:hAnsi="Google Sans" w:cs="Google Sans"/>
          <w:b/>
          <w:bCs/>
        </w:rPr>
        <w:t>Facultad:</w:t>
      </w:r>
      <w:r>
        <w:rPr>
          <w:rFonts w:ascii="Google Sans" w:eastAsia="Google Sans" w:hAnsi="Google Sans" w:cs="Google Sans"/>
        </w:rPr>
        <w:t xml:space="preserve"> Ciencias Jurídicas y Políticas </w:t>
      </w:r>
    </w:p>
    <w:p w14:paraId="5FC763D3" w14:textId="77777777" w:rsidR="005B042A" w:rsidRDefault="0072378B">
      <w:pPr>
        <w:widowControl w:val="0"/>
        <w:spacing w:after="320" w:line="240" w:lineRule="auto"/>
        <w:rPr>
          <w:rFonts w:ascii="Google Sans" w:eastAsia="Google Sans" w:hAnsi="Google Sans" w:cs="Google Sans"/>
        </w:rPr>
      </w:pPr>
      <w:r>
        <w:rPr>
          <w:rFonts w:ascii="Google Sans" w:eastAsia="Google Sans" w:hAnsi="Google Sans" w:cs="Google Sans"/>
          <w:b/>
          <w:bCs/>
        </w:rPr>
        <w:t>Programa:</w:t>
      </w:r>
      <w:r>
        <w:rPr>
          <w:rFonts w:ascii="Google Sans" w:eastAsia="Google Sans" w:hAnsi="Google Sans" w:cs="Google Sans"/>
        </w:rPr>
        <w:t xml:space="preserve"> Tecnología en Marketing (UNAB)</w:t>
      </w:r>
    </w:p>
    <w:p w14:paraId="7F4D7149" w14:textId="77777777" w:rsidR="005B042A" w:rsidRDefault="005B042A">
      <w:pPr>
        <w:widowControl w:val="0"/>
        <w:spacing w:after="320" w:line="240" w:lineRule="auto"/>
        <w:rPr>
          <w:rFonts w:ascii="Google Sans" w:eastAsia="Google Sans" w:hAnsi="Google Sans" w:cs="Google Sans"/>
        </w:rPr>
      </w:pPr>
    </w:p>
    <w:tbl>
      <w:tblPr>
        <w:tblStyle w:val="a"/>
        <w:tblW w:w="9360" w:type="dxa"/>
        <w:tblInd w:w="0" w:type="dxa"/>
        <w:tblBorders>
          <w:top w:val="single" w:sz="6" w:space="0" w:color="DCDCDC"/>
          <w:left w:val="single" w:sz="6" w:space="0" w:color="DCDCDC"/>
          <w:bottom w:val="single" w:sz="6" w:space="0" w:color="DCDCDC"/>
          <w:right w:val="single" w:sz="6" w:space="0" w:color="DCDCDC"/>
          <w:insideH w:val="single" w:sz="6" w:space="0" w:color="DCDCDC"/>
          <w:insideV w:val="single" w:sz="6" w:space="0" w:color="DCDCDC"/>
        </w:tblBorders>
        <w:tblLayout w:type="fixed"/>
        <w:tblLook w:val="0600" w:firstRow="0" w:lastRow="0" w:firstColumn="0" w:lastColumn="0" w:noHBand="1" w:noVBand="1"/>
      </w:tblPr>
      <w:tblGrid>
        <w:gridCol w:w="4680"/>
        <w:gridCol w:w="4680"/>
      </w:tblGrid>
      <w:tr w:rsidR="005B042A" w14:paraId="6DD21DAB" w14:textId="77777777">
        <w:trPr>
          <w:tblHeader/>
        </w:trPr>
        <w:tc>
          <w:tcPr>
            <w:tcW w:w="4680"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59000357"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Datos Generales del Curso</w:t>
            </w:r>
          </w:p>
        </w:tc>
        <w:tc>
          <w:tcPr>
            <w:tcW w:w="4680"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708D0A54" w14:textId="77777777" w:rsidR="005B042A" w:rsidRDefault="005B042A">
            <w:pPr>
              <w:widowControl w:val="0"/>
              <w:rPr>
                <w:rFonts w:ascii="Google Sans" w:eastAsia="Google Sans" w:hAnsi="Google Sans" w:cs="Google Sans"/>
                <w:b/>
                <w:bCs/>
              </w:rPr>
            </w:pPr>
          </w:p>
        </w:tc>
      </w:tr>
      <w:tr w:rsidR="005B042A" w14:paraId="4D32B1A6"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30C90B5A"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Nombre del curso / módulo:</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BC55AA2"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Derecho Comercial</w:t>
            </w:r>
          </w:p>
        </w:tc>
      </w:tr>
      <w:tr w:rsidR="005B042A" w14:paraId="523277A3"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CD5FB02"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Periodo:</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80B3D11"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2026-2</w:t>
            </w:r>
          </w:p>
        </w:tc>
      </w:tr>
      <w:tr w:rsidR="005B042A" w14:paraId="7C2F677D"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5248679"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Horario de atención a estudiantes:</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1547BD21" w14:textId="77777777" w:rsidR="005B042A" w:rsidRDefault="0072378B">
            <w:pPr>
              <w:widowControl w:val="0"/>
              <w:spacing w:before="120" w:after="120" w:line="240" w:lineRule="auto"/>
              <w:rPr>
                <w:rFonts w:ascii="Google Sans" w:eastAsia="Google Sans" w:hAnsi="Google Sans" w:cs="Google Sans"/>
              </w:rPr>
            </w:pPr>
            <w:proofErr w:type="gramStart"/>
            <w:r>
              <w:rPr>
                <w:rFonts w:ascii="Google Sans" w:eastAsia="Google Sans" w:hAnsi="Google Sans" w:cs="Google Sans"/>
              </w:rPr>
              <w:t>Lunes  de</w:t>
            </w:r>
            <w:proofErr w:type="gramEnd"/>
            <w:r>
              <w:rPr>
                <w:rFonts w:ascii="Google Sans" w:eastAsia="Google Sans" w:hAnsi="Google Sans" w:cs="Google Sans"/>
              </w:rPr>
              <w:t xml:space="preserve"> 08:00 a 10:00 (Modalidad Presencial en Cubículo de Docentes Facultad de </w:t>
            </w:r>
            <w:proofErr w:type="gramStart"/>
            <w:r>
              <w:rPr>
                <w:rFonts w:ascii="Google Sans" w:eastAsia="Google Sans" w:hAnsi="Google Sans" w:cs="Google Sans"/>
              </w:rPr>
              <w:t>Derecho  y</w:t>
            </w:r>
            <w:proofErr w:type="gramEnd"/>
            <w:r>
              <w:rPr>
                <w:rFonts w:ascii="Google Sans" w:eastAsia="Google Sans" w:hAnsi="Google Sans" w:cs="Google Sans"/>
              </w:rPr>
              <w:t xml:space="preserve"> Virtual vía Microsoft </w:t>
            </w:r>
            <w:proofErr w:type="spellStart"/>
            <w:r>
              <w:rPr>
                <w:rFonts w:ascii="Google Sans" w:eastAsia="Google Sans" w:hAnsi="Google Sans" w:cs="Google Sans"/>
              </w:rPr>
              <w:t>Teams</w:t>
            </w:r>
            <w:proofErr w:type="spellEnd"/>
            <w:r>
              <w:rPr>
                <w:rFonts w:ascii="Google Sans" w:eastAsia="Google Sans" w:hAnsi="Google Sans" w:cs="Google Sans"/>
              </w:rPr>
              <w:t xml:space="preserve"> con previa cita).</w:t>
            </w:r>
          </w:p>
        </w:tc>
      </w:tr>
      <w:tr w:rsidR="005B042A" w14:paraId="460C5FA6"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41A211B5"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Créditos:</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018E2ACB"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2</w:t>
            </w:r>
          </w:p>
        </w:tc>
      </w:tr>
      <w:tr w:rsidR="005B042A" w14:paraId="6ACFE1AB"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63BE3C18"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Horas Teóricas:</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14145364"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32 horas (Presencial / Trabajo Directo)</w:t>
            </w:r>
          </w:p>
        </w:tc>
      </w:tr>
      <w:tr w:rsidR="005B042A" w14:paraId="5E13AAE5"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44113BC1"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Horas Prácticas:</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642E44D6"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0 horas</w:t>
            </w:r>
          </w:p>
        </w:tc>
      </w:tr>
      <w:tr w:rsidR="005B042A" w14:paraId="770E1020"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338FF546"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Horas Teórico-Prácticas:</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34C14F5A"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0 horas</w:t>
            </w:r>
          </w:p>
        </w:tc>
      </w:tr>
      <w:tr w:rsidR="005B042A" w14:paraId="0B12C4F0" w14:textId="77777777">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18D930F"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Horas de Trabajo Independiente:</w:t>
            </w:r>
          </w:p>
        </w:tc>
        <w:tc>
          <w:tcPr>
            <w:tcW w:w="468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F4F94F8"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64 horas</w:t>
            </w:r>
          </w:p>
        </w:tc>
      </w:tr>
    </w:tbl>
    <w:p w14:paraId="6A19F2AB" w14:textId="77777777" w:rsidR="005B042A" w:rsidRDefault="0072378B">
      <w:pPr>
        <w:widowControl w:val="0"/>
        <w:spacing w:after="320" w:line="240" w:lineRule="auto"/>
        <w:rPr>
          <w:rFonts w:ascii="Google Sans" w:eastAsia="Google Sans" w:hAnsi="Google Sans" w:cs="Google Sans"/>
          <w:b/>
          <w:bCs/>
          <w:i/>
          <w:iCs/>
          <w:color w:val="0000FF"/>
        </w:rPr>
      </w:pPr>
      <w:r>
        <w:rPr>
          <w:rFonts w:ascii="Google Sans" w:eastAsia="Google Sans" w:hAnsi="Google Sans" w:cs="Google Sans"/>
          <w:b/>
          <w:bCs/>
        </w:rPr>
        <w:t>Profesor(a):</w:t>
      </w:r>
      <w:r>
        <w:rPr>
          <w:rFonts w:ascii="Google Sans" w:eastAsia="Google Sans" w:hAnsi="Google Sans" w:cs="Google Sans"/>
        </w:rPr>
        <w:t xml:space="preserve"> </w:t>
      </w:r>
      <w:r>
        <w:rPr>
          <w:rFonts w:ascii="Google Sans" w:eastAsia="Google Sans" w:hAnsi="Google Sans" w:cs="Google Sans"/>
          <w:i/>
          <w:iCs/>
        </w:rPr>
        <w:t xml:space="preserve">Docente Titular de Derecho </w:t>
      </w:r>
      <w:proofErr w:type="gramStart"/>
      <w:r>
        <w:rPr>
          <w:rFonts w:ascii="Google Sans" w:eastAsia="Google Sans" w:hAnsi="Google Sans" w:cs="Google Sans"/>
          <w:i/>
          <w:iCs/>
        </w:rPr>
        <w:t>Comercial .</w:t>
      </w:r>
      <w:proofErr w:type="gramEnd"/>
      <w:r>
        <w:rPr>
          <w:rFonts w:ascii="Google Sans" w:eastAsia="Google Sans" w:hAnsi="Google Sans" w:cs="Google Sans"/>
          <w:i/>
          <w:iCs/>
        </w:rPr>
        <w:t xml:space="preserve"> </w:t>
      </w:r>
      <w:r>
        <w:rPr>
          <w:rFonts w:ascii="Google Sans" w:eastAsia="Google Sans" w:hAnsi="Google Sans" w:cs="Google Sans"/>
          <w:b/>
          <w:bCs/>
          <w:i/>
          <w:iCs/>
          <w:color w:val="0000FF"/>
        </w:rPr>
        <w:t>ALVARO RUEDA ARDILA</w:t>
      </w:r>
    </w:p>
    <w:p w14:paraId="007F6EE7"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b/>
          <w:bCs/>
        </w:rPr>
        <w:lastRenderedPageBreak/>
        <w:t>Presentación:</w:t>
      </w:r>
      <w:r>
        <w:rPr>
          <w:rFonts w:ascii="Google Sans" w:eastAsia="Google Sans" w:hAnsi="Google Sans" w:cs="Google Sans"/>
        </w:rPr>
        <w:t xml:space="preserve"> ¡Bienvenidos al curso! Soy abogado especialista en Derecho Comercial de la UNAB y Asesoría </w:t>
      </w:r>
      <w:proofErr w:type="gramStart"/>
      <w:r>
        <w:rPr>
          <w:rFonts w:ascii="Google Sans" w:eastAsia="Google Sans" w:hAnsi="Google Sans" w:cs="Google Sans"/>
        </w:rPr>
        <w:t>Empresarial,.</w:t>
      </w:r>
      <w:proofErr w:type="gramEnd"/>
      <w:r>
        <w:rPr>
          <w:rFonts w:ascii="Google Sans" w:eastAsia="Google Sans" w:hAnsi="Google Sans" w:cs="Google Sans"/>
        </w:rPr>
        <w:t xml:space="preserve"> Cuento con más de 30 años de experiencia en docencia en la </w:t>
      </w:r>
      <w:proofErr w:type="spellStart"/>
      <w:r>
        <w:rPr>
          <w:rFonts w:ascii="Google Sans" w:eastAsia="Google Sans" w:hAnsi="Google Sans" w:cs="Google Sans"/>
        </w:rPr>
        <w:t>Unab</w:t>
      </w:r>
      <w:proofErr w:type="spellEnd"/>
      <w:r>
        <w:rPr>
          <w:rFonts w:ascii="Google Sans" w:eastAsia="Google Sans" w:hAnsi="Google Sans" w:cs="Google Sans"/>
        </w:rPr>
        <w:t>. Mi mayor interés es conectar el marco normativo y la protección jurídica con la innovación estratégica del marketing digital y tradicional. Espero que en este curso no solo aprendan normas, sino que desarrollen un criterio ético y legal sólido para potenciar sus proyectos y estrategias de mercado.</w:t>
      </w:r>
    </w:p>
    <w:p w14:paraId="33CE5329" w14:textId="77777777" w:rsidR="005B042A" w:rsidRDefault="005B042A">
      <w:pPr>
        <w:widowControl w:val="0"/>
        <w:spacing w:after="320" w:line="240" w:lineRule="auto"/>
        <w:rPr>
          <w:rFonts w:ascii="Google Sans" w:eastAsia="Google Sans" w:hAnsi="Google Sans" w:cs="Google Sans"/>
        </w:rPr>
      </w:pPr>
    </w:p>
    <w:p w14:paraId="0D590B10" w14:textId="77777777" w:rsidR="005B042A" w:rsidRDefault="0072378B">
      <w:pPr>
        <w:pStyle w:val="Ttulo2"/>
        <w:keepNext w:val="0"/>
        <w:keepLines w:val="0"/>
        <w:widowControl w:val="0"/>
        <w:spacing w:before="0" w:after="320" w:line="240" w:lineRule="auto"/>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t>1. ¿De qué trata este curso y por qué es importante?</w:t>
      </w:r>
    </w:p>
    <w:p w14:paraId="2C0A2883"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El curso de </w:t>
      </w:r>
      <w:r>
        <w:rPr>
          <w:rFonts w:ascii="Google Sans" w:eastAsia="Google Sans" w:hAnsi="Google Sans" w:cs="Google Sans"/>
          <w:b/>
          <w:bCs/>
        </w:rPr>
        <w:t>Derecho Comercial</w:t>
      </w:r>
      <w:r>
        <w:rPr>
          <w:rFonts w:ascii="Google Sans" w:eastAsia="Google Sans" w:hAnsi="Google Sans" w:cs="Google Sans"/>
        </w:rPr>
        <w:t xml:space="preserve"> para la Tecnología en Marketing aborda el conjunto de principios y normas jurídicas que regulan la actividad mercantil, los actos de comercio, los sujetos que los realizan (comerciantes y sociedades) y los instrumentos legales indispensables para el intercambio de bienes y servicios. A lo largo del módulo, los estudiantes comprenderán desde la estructura de los contratos comerciales hasta la regulación del comercio electrónico, los derechos del consumidor, la propiedad industrial (marcas, patentes y lemas)</w:t>
      </w:r>
      <w:r>
        <w:rPr>
          <w:rFonts w:ascii="Google Sans" w:eastAsia="Google Sans" w:hAnsi="Google Sans" w:cs="Google Sans"/>
        </w:rPr>
        <w:t xml:space="preserve"> y la competencia desleal.</w:t>
      </w:r>
    </w:p>
    <w:p w14:paraId="1CC0F48F"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Esta asignatura es fundamental para un profesional del Marketing, pues toda estrategia publicitaria, lanzamiento de producto, desarrollo de marca o canal de venta opera bajo un marco legal imperativo. Conocer estas reglas les permitirá diseñar campañas efectivas pero blindadas legalmente, proteger los activos intangibles de las organizaciones (como la identidad de marca), prevenir contingencias judiciales por publicidad engañosa o infracción de derechos de autor, y negociar acuerdos comerciales de manera ét</w:t>
      </w:r>
      <w:r>
        <w:rPr>
          <w:rFonts w:ascii="Google Sans" w:eastAsia="Google Sans" w:hAnsi="Google Sans" w:cs="Google Sans"/>
        </w:rPr>
        <w:t>ica, transparente y competitiva.</w:t>
      </w:r>
    </w:p>
    <w:p w14:paraId="3172CE4E" w14:textId="77777777" w:rsidR="005B042A" w:rsidRDefault="0072378B">
      <w:pPr>
        <w:pStyle w:val="Ttulo2"/>
        <w:keepNext w:val="0"/>
        <w:keepLines w:val="0"/>
        <w:widowControl w:val="0"/>
        <w:spacing w:before="0" w:after="225" w:line="240" w:lineRule="auto"/>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t>2. ¿Qué competencias vamos a desarrollar?</w:t>
      </w:r>
    </w:p>
    <w:p w14:paraId="1C6158F2" w14:textId="77777777" w:rsidR="005B042A" w:rsidRDefault="0072378B">
      <w:pPr>
        <w:widowControl w:val="0"/>
        <w:numPr>
          <w:ilvl w:val="0"/>
          <w:numId w:val="3"/>
        </w:numPr>
        <w:spacing w:line="240" w:lineRule="auto"/>
        <w:jc w:val="both"/>
      </w:pPr>
      <w:r>
        <w:rPr>
          <w:rFonts w:ascii="Google Sans" w:eastAsia="Google Sans" w:hAnsi="Google Sans" w:cs="Google Sans"/>
          <w:b/>
          <w:bCs/>
        </w:rPr>
        <w:t>Competencias Transversales:</w:t>
      </w:r>
    </w:p>
    <w:p w14:paraId="5D9E0C7F" w14:textId="77777777" w:rsidR="005B042A" w:rsidRDefault="0072378B">
      <w:pPr>
        <w:widowControl w:val="0"/>
        <w:numPr>
          <w:ilvl w:val="1"/>
          <w:numId w:val="6"/>
        </w:numPr>
        <w:spacing w:line="240" w:lineRule="auto"/>
        <w:jc w:val="both"/>
      </w:pPr>
      <w:r>
        <w:rPr>
          <w:rFonts w:ascii="Google Sans" w:eastAsia="Google Sans" w:hAnsi="Google Sans" w:cs="Google Sans"/>
          <w:i/>
          <w:iCs/>
        </w:rPr>
        <w:t>Sostenibilidad, Ética y Ciudadanía:</w:t>
      </w:r>
      <w:r>
        <w:rPr>
          <w:rFonts w:ascii="Google Sans" w:eastAsia="Google Sans" w:hAnsi="Google Sans" w:cs="Google Sans"/>
        </w:rPr>
        <w:t xml:space="preserve"> Actúa con responsabilidad ética y legal en el ejercicio del mercadeo, respetando los derechos de los consumidores, la propiedad intelectual y las normas de libre competencia.</w:t>
      </w:r>
    </w:p>
    <w:p w14:paraId="13525EC3" w14:textId="77777777" w:rsidR="005B042A" w:rsidRDefault="0072378B">
      <w:pPr>
        <w:widowControl w:val="0"/>
        <w:numPr>
          <w:ilvl w:val="0"/>
          <w:numId w:val="3"/>
        </w:numPr>
        <w:spacing w:line="240" w:lineRule="auto"/>
        <w:jc w:val="both"/>
      </w:pPr>
      <w:r>
        <w:rPr>
          <w:rFonts w:ascii="Google Sans" w:eastAsia="Google Sans" w:hAnsi="Google Sans" w:cs="Google Sans"/>
          <w:b/>
          <w:bCs/>
        </w:rPr>
        <w:t>Competencias Disciplinares:</w:t>
      </w:r>
    </w:p>
    <w:p w14:paraId="5A0A08F3" w14:textId="77777777" w:rsidR="005B042A" w:rsidRDefault="0072378B">
      <w:pPr>
        <w:widowControl w:val="0"/>
        <w:numPr>
          <w:ilvl w:val="1"/>
          <w:numId w:val="5"/>
        </w:numPr>
        <w:spacing w:line="240" w:lineRule="auto"/>
        <w:jc w:val="both"/>
      </w:pPr>
      <w:r>
        <w:rPr>
          <w:rFonts w:ascii="Google Sans" w:eastAsia="Google Sans" w:hAnsi="Google Sans" w:cs="Google Sans"/>
        </w:rPr>
        <w:t>Aplica el marco normativo mercantil colombiano y la regulación de protección al consumidor para estructurar estrategias y campañas de marketing legalmente viables y transparentes.</w:t>
      </w:r>
    </w:p>
    <w:p w14:paraId="4E062F43" w14:textId="77777777" w:rsidR="005B042A" w:rsidRDefault="0072378B">
      <w:pPr>
        <w:widowControl w:val="0"/>
        <w:numPr>
          <w:ilvl w:val="1"/>
          <w:numId w:val="5"/>
        </w:numPr>
        <w:spacing w:line="240" w:lineRule="auto"/>
        <w:jc w:val="both"/>
      </w:pPr>
      <w:r>
        <w:rPr>
          <w:rFonts w:ascii="Google Sans" w:eastAsia="Google Sans" w:hAnsi="Google Sans" w:cs="Google Sans"/>
        </w:rPr>
        <w:t>Gestiona la protección de activos intangibles (marcas, enseñas, lemas e invenciones) conforme a la legislación de propiedad industrial para asegurar la ventaja competitiva de las organizaciones.</w:t>
      </w:r>
    </w:p>
    <w:p w14:paraId="5E500723" w14:textId="77777777" w:rsidR="005B042A" w:rsidRDefault="0072378B">
      <w:pPr>
        <w:widowControl w:val="0"/>
        <w:numPr>
          <w:ilvl w:val="1"/>
          <w:numId w:val="5"/>
        </w:numPr>
        <w:spacing w:line="240" w:lineRule="auto"/>
        <w:jc w:val="both"/>
      </w:pPr>
      <w:r>
        <w:rPr>
          <w:rFonts w:ascii="Google Sans" w:eastAsia="Google Sans" w:hAnsi="Google Sans" w:cs="Google Sans"/>
        </w:rPr>
        <w:t>Analiza la contratación mercantil, el comercio electrónico y la regulación sobre competencia desleal para fundamentar decisiones comerciales éticas e innovadoras.</w:t>
      </w:r>
    </w:p>
    <w:p w14:paraId="3F2EB5D6" w14:textId="77777777" w:rsidR="005B042A" w:rsidRDefault="005B042A">
      <w:pPr>
        <w:pStyle w:val="Ttulo2"/>
        <w:keepNext w:val="0"/>
        <w:keepLines w:val="0"/>
        <w:widowControl w:val="0"/>
        <w:spacing w:before="0" w:after="320" w:line="240" w:lineRule="auto"/>
        <w:jc w:val="both"/>
        <w:rPr>
          <w:rFonts w:ascii="Google Sans" w:eastAsia="Google Sans" w:hAnsi="Google Sans" w:cs="Google Sans"/>
          <w:b/>
          <w:bCs/>
          <w:sz w:val="36"/>
          <w:szCs w:val="36"/>
        </w:rPr>
      </w:pPr>
    </w:p>
    <w:p w14:paraId="7E02B0B3" w14:textId="77777777" w:rsidR="005B042A" w:rsidRDefault="0072378B">
      <w:pPr>
        <w:pStyle w:val="Ttulo2"/>
        <w:keepNext w:val="0"/>
        <w:keepLines w:val="0"/>
        <w:widowControl w:val="0"/>
        <w:spacing w:before="0" w:after="320" w:line="240" w:lineRule="auto"/>
        <w:jc w:val="both"/>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lastRenderedPageBreak/>
        <w:t>3. ¿Es un curso tipo EHLE?</w:t>
      </w:r>
    </w:p>
    <w:p w14:paraId="4841BAB0" w14:textId="77777777" w:rsidR="005B042A" w:rsidRDefault="0072378B">
      <w:pPr>
        <w:widowControl w:val="0"/>
        <w:spacing w:after="320" w:line="240" w:lineRule="auto"/>
        <w:rPr>
          <w:rFonts w:ascii="Google Sans" w:eastAsia="Google Sans" w:hAnsi="Google Sans" w:cs="Google Sans"/>
          <w:b/>
          <w:bCs/>
        </w:rPr>
      </w:pPr>
      <w:r>
        <w:rPr>
          <w:rFonts w:ascii="Google Sans" w:eastAsia="Google Sans" w:hAnsi="Google Sans" w:cs="Google Sans"/>
          <w:b/>
          <w:bCs/>
        </w:rPr>
        <w:t xml:space="preserve">Sí </w:t>
      </w:r>
      <w:proofErr w:type="gramStart"/>
      <w:r>
        <w:rPr>
          <w:rFonts w:ascii="Google Sans" w:eastAsia="Google Sans" w:hAnsi="Google Sans" w:cs="Google Sans"/>
          <w:b/>
          <w:bCs/>
        </w:rPr>
        <w:t xml:space="preserve">X </w:t>
      </w:r>
      <w:r>
        <w:rPr>
          <w:rFonts w:ascii="Google Sans" w:eastAsia="Google Sans" w:hAnsi="Google Sans" w:cs="Google Sans"/>
        </w:rPr>
        <w:t xml:space="preserve"> </w:t>
      </w:r>
      <w:r>
        <w:rPr>
          <w:rFonts w:ascii="Google Sans" w:eastAsia="Google Sans" w:hAnsi="Google Sans" w:cs="Google Sans"/>
          <w:b/>
          <w:bCs/>
        </w:rPr>
        <w:t>No</w:t>
      </w:r>
      <w:proofErr w:type="gramEnd"/>
      <w:r>
        <w:rPr>
          <w:rFonts w:ascii="Google Sans" w:eastAsia="Google Sans" w:hAnsi="Google Sans" w:cs="Google Sans"/>
          <w:b/>
          <w:bCs/>
        </w:rPr>
        <w:t xml:space="preserve"> ____</w:t>
      </w:r>
    </w:p>
    <w:p w14:paraId="1CA3CEED" w14:textId="77777777" w:rsidR="005B042A" w:rsidRDefault="0072378B">
      <w:pPr>
        <w:widowControl w:val="0"/>
        <w:spacing w:after="320" w:line="240" w:lineRule="auto"/>
        <w:rPr>
          <w:rFonts w:ascii="Google Sans" w:eastAsia="Google Sans" w:hAnsi="Google Sans" w:cs="Google Sans"/>
          <w:b/>
          <w:bCs/>
        </w:rPr>
      </w:pPr>
      <w:r>
        <w:rPr>
          <w:rFonts w:ascii="Google Sans" w:eastAsia="Google Sans" w:hAnsi="Google Sans" w:cs="Google Sans"/>
          <w:b/>
          <w:bCs/>
        </w:rPr>
        <w:t>Explicación de habilidades comunicativas:</w:t>
      </w:r>
    </w:p>
    <w:p w14:paraId="53461D88"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En este curso fortaleceremos de manera intencionada las competencias comunicativas mediante la didáctica EHLE:</w:t>
      </w:r>
    </w:p>
    <w:p w14:paraId="43E7D687" w14:textId="77777777" w:rsidR="005B042A" w:rsidRDefault="0072378B">
      <w:pPr>
        <w:widowControl w:val="0"/>
        <w:numPr>
          <w:ilvl w:val="0"/>
          <w:numId w:val="4"/>
        </w:numPr>
        <w:spacing w:line="240" w:lineRule="auto"/>
        <w:jc w:val="both"/>
      </w:pPr>
      <w:r>
        <w:rPr>
          <w:rFonts w:ascii="Google Sans" w:eastAsia="Google Sans" w:hAnsi="Google Sans" w:cs="Google Sans"/>
          <w:b/>
          <w:bCs/>
        </w:rPr>
        <w:t>Lectura Crítica:</w:t>
      </w:r>
      <w:r>
        <w:rPr>
          <w:rFonts w:ascii="Google Sans" w:eastAsia="Google Sans" w:hAnsi="Google Sans" w:cs="Google Sans"/>
        </w:rPr>
        <w:t xml:space="preserve"> Análisis e interpretación de jurisprudencia de la Superintendencia de Industria y Comercio (SIC), Estatuto del Consumidor (Ley 1480 de 2011) y contratos mercantiles tipificados.</w:t>
      </w:r>
    </w:p>
    <w:p w14:paraId="301DD701" w14:textId="77777777" w:rsidR="005B042A" w:rsidRDefault="0072378B">
      <w:pPr>
        <w:widowControl w:val="0"/>
        <w:numPr>
          <w:ilvl w:val="0"/>
          <w:numId w:val="4"/>
        </w:numPr>
        <w:spacing w:line="240" w:lineRule="auto"/>
        <w:jc w:val="both"/>
      </w:pPr>
      <w:r>
        <w:rPr>
          <w:rFonts w:ascii="Google Sans" w:eastAsia="Google Sans" w:hAnsi="Google Sans" w:cs="Google Sans"/>
          <w:b/>
          <w:bCs/>
        </w:rPr>
        <w:t>Escucha y Habla (Argumentación Oral):</w:t>
      </w:r>
      <w:r>
        <w:rPr>
          <w:rFonts w:ascii="Google Sans" w:eastAsia="Google Sans" w:hAnsi="Google Sans" w:cs="Google Sans"/>
        </w:rPr>
        <w:t xml:space="preserve"> </w:t>
      </w:r>
      <w:proofErr w:type="gramStart"/>
      <w:r>
        <w:rPr>
          <w:rFonts w:ascii="Google Sans" w:eastAsia="Google Sans" w:hAnsi="Google Sans" w:cs="Google Sans"/>
        </w:rPr>
        <w:t>Participación activa</w:t>
      </w:r>
      <w:proofErr w:type="gramEnd"/>
      <w:r>
        <w:rPr>
          <w:rFonts w:ascii="Google Sans" w:eastAsia="Google Sans" w:hAnsi="Google Sans" w:cs="Google Sans"/>
        </w:rPr>
        <w:t xml:space="preserve"> en debates simulados sobre casos de publicidad engañosa y juzgamiento ético de competencias desleales.</w:t>
      </w:r>
    </w:p>
    <w:p w14:paraId="03CE12AA" w14:textId="77777777" w:rsidR="005B042A" w:rsidRDefault="0072378B">
      <w:pPr>
        <w:widowControl w:val="0"/>
        <w:numPr>
          <w:ilvl w:val="0"/>
          <w:numId w:val="4"/>
        </w:numPr>
        <w:spacing w:line="240" w:lineRule="auto"/>
        <w:jc w:val="both"/>
      </w:pPr>
      <w:r>
        <w:rPr>
          <w:rFonts w:ascii="Google Sans" w:eastAsia="Google Sans" w:hAnsi="Google Sans" w:cs="Google Sans"/>
          <w:b/>
          <w:bCs/>
        </w:rPr>
        <w:t>Escritura Académica y Profesional:</w:t>
      </w:r>
      <w:r>
        <w:rPr>
          <w:rFonts w:ascii="Google Sans" w:eastAsia="Google Sans" w:hAnsi="Google Sans" w:cs="Google Sans"/>
        </w:rPr>
        <w:t xml:space="preserve"> Redacción de términos y condiciones para plataformas e-</w:t>
      </w:r>
      <w:proofErr w:type="spellStart"/>
      <w:r>
        <w:rPr>
          <w:rFonts w:ascii="Google Sans" w:eastAsia="Google Sans" w:hAnsi="Google Sans" w:cs="Google Sans"/>
        </w:rPr>
        <w:t>commerce</w:t>
      </w:r>
      <w:proofErr w:type="spellEnd"/>
      <w:r>
        <w:rPr>
          <w:rFonts w:ascii="Google Sans" w:eastAsia="Google Sans" w:hAnsi="Google Sans" w:cs="Google Sans"/>
        </w:rPr>
        <w:t>, cláusulas contractuales básicas de marketing (ej. acuerdos de confidencialidad y cesión de derechos de autor) y conceptos legales de campañas.</w:t>
      </w:r>
    </w:p>
    <w:p w14:paraId="13AEBA4F" w14:textId="77777777" w:rsidR="005B042A" w:rsidRDefault="0072378B">
      <w:pPr>
        <w:pStyle w:val="Ttulo2"/>
        <w:keepNext w:val="0"/>
        <w:keepLines w:val="0"/>
        <w:widowControl w:val="0"/>
        <w:spacing w:before="225" w:after="320" w:line="240" w:lineRule="auto"/>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t>4. ¿Este curso integra recursos o actividades en inglés?</w:t>
      </w:r>
    </w:p>
    <w:p w14:paraId="312E252B" w14:textId="77777777" w:rsidR="005B042A" w:rsidRDefault="0072378B">
      <w:pPr>
        <w:widowControl w:val="0"/>
        <w:spacing w:after="320" w:line="240" w:lineRule="auto"/>
        <w:rPr>
          <w:rFonts w:ascii="Google Sans" w:eastAsia="Google Sans" w:hAnsi="Google Sans" w:cs="Google Sans"/>
          <w:b/>
          <w:bCs/>
        </w:rPr>
      </w:pPr>
      <w:r>
        <w:rPr>
          <w:rFonts w:ascii="Google Sans" w:eastAsia="Google Sans" w:hAnsi="Google Sans" w:cs="Google Sans"/>
          <w:b/>
          <w:bCs/>
        </w:rPr>
        <w:t xml:space="preserve">Sí </w:t>
      </w:r>
      <w:proofErr w:type="gramStart"/>
      <w:r>
        <w:rPr>
          <w:rFonts w:ascii="Google Sans" w:eastAsia="Google Sans" w:hAnsi="Google Sans" w:cs="Google Sans"/>
          <w:b/>
          <w:bCs/>
        </w:rPr>
        <w:t xml:space="preserve">X </w:t>
      </w:r>
      <w:r>
        <w:rPr>
          <w:rFonts w:ascii="Google Sans" w:eastAsia="Google Sans" w:hAnsi="Google Sans" w:cs="Google Sans"/>
        </w:rPr>
        <w:t xml:space="preserve"> </w:t>
      </w:r>
      <w:r>
        <w:rPr>
          <w:rFonts w:ascii="Google Sans" w:eastAsia="Google Sans" w:hAnsi="Google Sans" w:cs="Google Sans"/>
          <w:b/>
          <w:bCs/>
        </w:rPr>
        <w:t>No</w:t>
      </w:r>
      <w:proofErr w:type="gramEnd"/>
      <w:r>
        <w:rPr>
          <w:rFonts w:ascii="Google Sans" w:eastAsia="Google Sans" w:hAnsi="Google Sans" w:cs="Google Sans"/>
          <w:b/>
          <w:bCs/>
        </w:rPr>
        <w:t xml:space="preserve"> ____</w:t>
      </w:r>
    </w:p>
    <w:p w14:paraId="5254AC80" w14:textId="77777777" w:rsidR="005B042A" w:rsidRDefault="0072378B">
      <w:pPr>
        <w:widowControl w:val="0"/>
        <w:spacing w:after="320" w:line="240" w:lineRule="auto"/>
        <w:rPr>
          <w:rFonts w:ascii="Google Sans" w:eastAsia="Google Sans" w:hAnsi="Google Sans" w:cs="Google Sans"/>
          <w:b/>
          <w:bCs/>
        </w:rPr>
      </w:pPr>
      <w:r>
        <w:rPr>
          <w:rFonts w:ascii="Google Sans" w:eastAsia="Google Sans" w:hAnsi="Google Sans" w:cs="Google Sans"/>
          <w:b/>
          <w:bCs/>
        </w:rPr>
        <w:t>Explicación:</w:t>
      </w:r>
    </w:p>
    <w:p w14:paraId="156A8817"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Se revisarán casos de estudio internacionales sobre infracciones de marca (</w:t>
      </w:r>
      <w:proofErr w:type="spellStart"/>
      <w:r>
        <w:rPr>
          <w:rFonts w:ascii="Google Sans" w:eastAsia="Google Sans" w:hAnsi="Google Sans" w:cs="Google Sans"/>
          <w:i/>
          <w:iCs/>
        </w:rPr>
        <w:t>trademark</w:t>
      </w:r>
      <w:proofErr w:type="spellEnd"/>
      <w:r>
        <w:rPr>
          <w:rFonts w:ascii="Google Sans" w:eastAsia="Google Sans" w:hAnsi="Google Sans" w:cs="Google Sans"/>
          <w:i/>
          <w:iCs/>
        </w:rPr>
        <w:t xml:space="preserve"> </w:t>
      </w:r>
      <w:proofErr w:type="spellStart"/>
      <w:r>
        <w:rPr>
          <w:rFonts w:ascii="Google Sans" w:eastAsia="Google Sans" w:hAnsi="Google Sans" w:cs="Google Sans"/>
          <w:i/>
          <w:iCs/>
        </w:rPr>
        <w:t>infringement</w:t>
      </w:r>
      <w:proofErr w:type="spellEnd"/>
      <w:r>
        <w:rPr>
          <w:rFonts w:ascii="Google Sans" w:eastAsia="Google Sans" w:hAnsi="Google Sans" w:cs="Google Sans"/>
        </w:rPr>
        <w:t>) en el entorno digital y acuerdos de licenciamiento (</w:t>
      </w:r>
      <w:proofErr w:type="spellStart"/>
      <w:r>
        <w:rPr>
          <w:rFonts w:ascii="Google Sans" w:eastAsia="Google Sans" w:hAnsi="Google Sans" w:cs="Google Sans"/>
          <w:i/>
          <w:iCs/>
        </w:rPr>
        <w:t>licensing</w:t>
      </w:r>
      <w:proofErr w:type="spellEnd"/>
      <w:r>
        <w:rPr>
          <w:rFonts w:ascii="Google Sans" w:eastAsia="Google Sans" w:hAnsi="Google Sans" w:cs="Google Sans"/>
          <w:i/>
          <w:iCs/>
        </w:rPr>
        <w:t xml:space="preserve"> </w:t>
      </w:r>
      <w:proofErr w:type="spellStart"/>
      <w:r>
        <w:rPr>
          <w:rFonts w:ascii="Google Sans" w:eastAsia="Google Sans" w:hAnsi="Google Sans" w:cs="Google Sans"/>
          <w:i/>
          <w:iCs/>
        </w:rPr>
        <w:t>agreements</w:t>
      </w:r>
      <w:proofErr w:type="spellEnd"/>
      <w:r>
        <w:rPr>
          <w:rFonts w:ascii="Google Sans" w:eastAsia="Google Sans" w:hAnsi="Google Sans" w:cs="Google Sans"/>
        </w:rPr>
        <w:t xml:space="preserve">). Asimismo, los estudiantes analizarán los </w:t>
      </w:r>
      <w:proofErr w:type="spellStart"/>
      <w:r>
        <w:rPr>
          <w:rFonts w:ascii="Google Sans" w:eastAsia="Google Sans" w:hAnsi="Google Sans" w:cs="Google Sans"/>
          <w:i/>
          <w:iCs/>
        </w:rPr>
        <w:t>Terms</w:t>
      </w:r>
      <w:proofErr w:type="spellEnd"/>
      <w:r>
        <w:rPr>
          <w:rFonts w:ascii="Google Sans" w:eastAsia="Google Sans" w:hAnsi="Google Sans" w:cs="Google Sans"/>
          <w:i/>
          <w:iCs/>
        </w:rPr>
        <w:t xml:space="preserve"> </w:t>
      </w:r>
      <w:proofErr w:type="spellStart"/>
      <w:r>
        <w:rPr>
          <w:rFonts w:ascii="Google Sans" w:eastAsia="Google Sans" w:hAnsi="Google Sans" w:cs="Google Sans"/>
          <w:i/>
          <w:iCs/>
        </w:rPr>
        <w:t>of</w:t>
      </w:r>
      <w:proofErr w:type="spellEnd"/>
      <w:r>
        <w:rPr>
          <w:rFonts w:ascii="Google Sans" w:eastAsia="Google Sans" w:hAnsi="Google Sans" w:cs="Google Sans"/>
          <w:i/>
          <w:iCs/>
        </w:rPr>
        <w:t xml:space="preserve"> Service</w:t>
      </w:r>
      <w:r>
        <w:rPr>
          <w:rFonts w:ascii="Google Sans" w:eastAsia="Google Sans" w:hAnsi="Google Sans" w:cs="Google Sans"/>
        </w:rPr>
        <w:t xml:space="preserve"> (</w:t>
      </w:r>
      <w:proofErr w:type="spellStart"/>
      <w:r>
        <w:rPr>
          <w:rFonts w:ascii="Google Sans" w:eastAsia="Google Sans" w:hAnsi="Google Sans" w:cs="Google Sans"/>
        </w:rPr>
        <w:t>ToS</w:t>
      </w:r>
      <w:proofErr w:type="spellEnd"/>
      <w:r>
        <w:rPr>
          <w:rFonts w:ascii="Google Sans" w:eastAsia="Google Sans" w:hAnsi="Google Sans" w:cs="Google Sans"/>
        </w:rPr>
        <w:t xml:space="preserve">) y políticas de privacidad en inglés de plataformas globales de publicidad (Meta </w:t>
      </w:r>
      <w:proofErr w:type="spellStart"/>
      <w:r>
        <w:rPr>
          <w:rFonts w:ascii="Google Sans" w:eastAsia="Google Sans" w:hAnsi="Google Sans" w:cs="Google Sans"/>
        </w:rPr>
        <w:t>Ads</w:t>
      </w:r>
      <w:proofErr w:type="spellEnd"/>
      <w:r>
        <w:rPr>
          <w:rFonts w:ascii="Google Sans" w:eastAsia="Google Sans" w:hAnsi="Google Sans" w:cs="Google Sans"/>
        </w:rPr>
        <w:t xml:space="preserve">, Google </w:t>
      </w:r>
      <w:proofErr w:type="spellStart"/>
      <w:r>
        <w:rPr>
          <w:rFonts w:ascii="Google Sans" w:eastAsia="Google Sans" w:hAnsi="Google Sans" w:cs="Google Sans"/>
        </w:rPr>
        <w:t>Ads</w:t>
      </w:r>
      <w:proofErr w:type="spellEnd"/>
      <w:r>
        <w:rPr>
          <w:rFonts w:ascii="Google Sans" w:eastAsia="Google Sans" w:hAnsi="Google Sans" w:cs="Google Sans"/>
        </w:rPr>
        <w:t xml:space="preserve"> y TikTok) para comprender el marco contractual del marketing digital transfronterizo.</w:t>
      </w:r>
    </w:p>
    <w:p w14:paraId="32F388D0" w14:textId="77777777" w:rsidR="005B042A" w:rsidRDefault="0072378B">
      <w:pPr>
        <w:pStyle w:val="Ttulo2"/>
        <w:keepNext w:val="0"/>
        <w:keepLines w:val="0"/>
        <w:widowControl w:val="0"/>
        <w:spacing w:before="0" w:after="225" w:line="240" w:lineRule="auto"/>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t>5. ¿Qué vamos a aprender y cómo?</w:t>
      </w:r>
    </w:p>
    <w:p w14:paraId="43D45EB7" w14:textId="77777777" w:rsidR="005B042A" w:rsidRDefault="005B042A">
      <w:pPr>
        <w:widowControl w:val="0"/>
        <w:spacing w:after="225" w:line="240" w:lineRule="auto"/>
        <w:rPr>
          <w:rFonts w:ascii="Google Sans" w:eastAsia="Google Sans" w:hAnsi="Google Sans" w:cs="Google Sans"/>
        </w:rPr>
      </w:pPr>
    </w:p>
    <w:tbl>
      <w:tblPr>
        <w:tblStyle w:val="a0"/>
        <w:tblW w:w="9360" w:type="dxa"/>
        <w:tblInd w:w="0" w:type="dxa"/>
        <w:tblBorders>
          <w:top w:val="single" w:sz="6" w:space="0" w:color="DCDCDC"/>
          <w:left w:val="single" w:sz="6" w:space="0" w:color="DCDCDC"/>
          <w:bottom w:val="single" w:sz="6" w:space="0" w:color="DCDCDC"/>
          <w:right w:val="single" w:sz="6" w:space="0" w:color="DCDCDC"/>
          <w:insideH w:val="single" w:sz="6" w:space="0" w:color="DCDCDC"/>
          <w:insideV w:val="single" w:sz="6" w:space="0" w:color="DCDCDC"/>
        </w:tblBorders>
        <w:tblLayout w:type="fixed"/>
        <w:tblLook w:val="0600" w:firstRow="0" w:lastRow="0" w:firstColumn="0" w:lastColumn="0" w:noHBand="1" w:noVBand="1"/>
      </w:tblPr>
      <w:tblGrid>
        <w:gridCol w:w="3120"/>
        <w:gridCol w:w="3120"/>
        <w:gridCol w:w="3120"/>
      </w:tblGrid>
      <w:tr w:rsidR="005B042A" w14:paraId="6E012C76" w14:textId="77777777">
        <w:trPr>
          <w:tblHeader/>
        </w:trPr>
        <w:tc>
          <w:tcPr>
            <w:tcW w:w="3120"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45427370"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Semana o sesión</w:t>
            </w:r>
          </w:p>
        </w:tc>
        <w:tc>
          <w:tcPr>
            <w:tcW w:w="3120"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21536B2D"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Contenidos</w:t>
            </w:r>
          </w:p>
        </w:tc>
        <w:tc>
          <w:tcPr>
            <w:tcW w:w="3120"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18436EDF"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Actividades de formación y recursos</w:t>
            </w:r>
          </w:p>
        </w:tc>
      </w:tr>
      <w:tr w:rsidR="005B042A" w14:paraId="5394AB2E"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3E13A7B3"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1 - 2</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1315492F"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 xml:space="preserve">Introducción al Derecho </w:t>
            </w:r>
            <w:r>
              <w:rPr>
                <w:rFonts w:ascii="Google Sans" w:eastAsia="Google Sans" w:hAnsi="Google Sans" w:cs="Google Sans"/>
                <w:b/>
                <w:bCs/>
              </w:rPr>
              <w:lastRenderedPageBreak/>
              <w:t>Comercial y Sujetos Mercantiles</w:t>
            </w:r>
          </w:p>
          <w:p w14:paraId="32A54AAB" w14:textId="77777777" w:rsidR="005B042A" w:rsidRDefault="005B042A">
            <w:pPr>
              <w:widowControl w:val="0"/>
              <w:spacing w:after="320" w:line="240" w:lineRule="auto"/>
              <w:rPr>
                <w:rFonts w:ascii="Google Sans" w:eastAsia="Google Sans" w:hAnsi="Google Sans" w:cs="Google Sans"/>
                <w:b/>
                <w:bCs/>
              </w:rPr>
            </w:pPr>
          </w:p>
          <w:p w14:paraId="0A2E5D9D"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Concepto de Derecho Comercial y Actos de Comercio.</w:t>
            </w:r>
          </w:p>
          <w:p w14:paraId="2FC9FB32" w14:textId="77777777" w:rsidR="005B042A" w:rsidRDefault="005B042A">
            <w:pPr>
              <w:widowControl w:val="0"/>
              <w:spacing w:after="320" w:line="240" w:lineRule="auto"/>
              <w:rPr>
                <w:rFonts w:ascii="Google Sans" w:eastAsia="Google Sans" w:hAnsi="Google Sans" w:cs="Google Sans"/>
              </w:rPr>
            </w:pPr>
          </w:p>
          <w:p w14:paraId="72B6789D"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El comerciante: deberes, derechos e Inhabilidades.</w:t>
            </w:r>
          </w:p>
          <w:p w14:paraId="5D3E1BDD" w14:textId="77777777" w:rsidR="005B042A" w:rsidRDefault="005B042A">
            <w:pPr>
              <w:widowControl w:val="0"/>
              <w:spacing w:after="320" w:line="240" w:lineRule="auto"/>
              <w:rPr>
                <w:rFonts w:ascii="Google Sans" w:eastAsia="Google Sans" w:hAnsi="Google Sans" w:cs="Google Sans"/>
              </w:rPr>
            </w:pPr>
          </w:p>
          <w:p w14:paraId="32BFDECD"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Registro Mercantil y Cámaras de Comercio.</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05D33F6F"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lastRenderedPageBreak/>
              <w:t>Actividad Formativa:</w:t>
            </w:r>
            <w:r>
              <w:rPr>
                <w:rFonts w:ascii="Google Sans" w:eastAsia="Google Sans" w:hAnsi="Google Sans" w:cs="Google Sans"/>
              </w:rPr>
              <w:t xml:space="preserve"> Taller </w:t>
            </w:r>
            <w:r>
              <w:rPr>
                <w:rFonts w:ascii="Google Sans" w:eastAsia="Google Sans" w:hAnsi="Google Sans" w:cs="Google Sans"/>
              </w:rPr>
              <w:lastRenderedPageBreak/>
              <w:t>de análisis de casos reales sobre calificación de actos mercantiles versus civiles.</w:t>
            </w:r>
          </w:p>
          <w:p w14:paraId="14353A74" w14:textId="77777777" w:rsidR="005B042A" w:rsidRDefault="005B042A">
            <w:pPr>
              <w:widowControl w:val="0"/>
              <w:spacing w:after="320" w:line="240" w:lineRule="auto"/>
              <w:rPr>
                <w:rFonts w:ascii="Google Sans" w:eastAsia="Google Sans" w:hAnsi="Google Sans" w:cs="Google Sans"/>
              </w:rPr>
            </w:pPr>
          </w:p>
          <w:p w14:paraId="59101F4C"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Aula Invertida (</w:t>
            </w:r>
            <w:proofErr w:type="spellStart"/>
            <w:r>
              <w:rPr>
                <w:rFonts w:ascii="Google Sans" w:eastAsia="Google Sans" w:hAnsi="Google Sans" w:cs="Google Sans"/>
                <w:i/>
                <w:iCs/>
              </w:rPr>
              <w:t>Flipped</w:t>
            </w:r>
            <w:proofErr w:type="spellEnd"/>
            <w:r>
              <w:rPr>
                <w:rFonts w:ascii="Google Sans" w:eastAsia="Google Sans" w:hAnsi="Google Sans" w:cs="Google Sans"/>
                <w:i/>
                <w:iCs/>
              </w:rPr>
              <w:t xml:space="preserve"> </w:t>
            </w:r>
            <w:proofErr w:type="spellStart"/>
            <w:r>
              <w:rPr>
                <w:rFonts w:ascii="Google Sans" w:eastAsia="Google Sans" w:hAnsi="Google Sans" w:cs="Google Sans"/>
                <w:i/>
                <w:iCs/>
              </w:rPr>
              <w:t>Classroom</w:t>
            </w:r>
            <w:proofErr w:type="spellEnd"/>
            <w:r>
              <w:rPr>
                <w:rFonts w:ascii="Google Sans" w:eastAsia="Google Sans" w:hAnsi="Google Sans" w:cs="Google Sans"/>
              </w:rPr>
              <w:t>).</w:t>
            </w:r>
          </w:p>
          <w:p w14:paraId="5A8D986D" w14:textId="77777777" w:rsidR="005B042A" w:rsidRDefault="005B042A">
            <w:pPr>
              <w:widowControl w:val="0"/>
              <w:spacing w:after="320" w:line="240" w:lineRule="auto"/>
              <w:rPr>
                <w:rFonts w:ascii="Google Sans" w:eastAsia="Google Sans" w:hAnsi="Google Sans" w:cs="Google Sans"/>
              </w:rPr>
            </w:pPr>
          </w:p>
          <w:p w14:paraId="051D6412"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Código de Comercio Colombiano (Arts. 10 a 100). Video explicativo en JUNO/</w:t>
            </w:r>
            <w:proofErr w:type="spellStart"/>
            <w:r>
              <w:rPr>
                <w:rFonts w:ascii="Google Sans" w:eastAsia="Google Sans" w:hAnsi="Google Sans" w:cs="Google Sans"/>
              </w:rPr>
              <w:t>Canvas</w:t>
            </w:r>
            <w:proofErr w:type="spellEnd"/>
            <w:r>
              <w:rPr>
                <w:rFonts w:ascii="Google Sans" w:eastAsia="Google Sans" w:hAnsi="Google Sans" w:cs="Google Sans"/>
              </w:rPr>
              <w:t xml:space="preserve"> sobre matrícula mercantil.</w:t>
            </w:r>
          </w:p>
        </w:tc>
      </w:tr>
      <w:tr w:rsidR="005B042A" w14:paraId="6E96CB17"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0977D6BC"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lastRenderedPageBreak/>
              <w:t>Semana 3 - 4</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575A7AA"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Sociedades Comerciales y Estructuras de Negocio</w:t>
            </w:r>
          </w:p>
          <w:p w14:paraId="1DADF588" w14:textId="77777777" w:rsidR="005B042A" w:rsidRDefault="005B042A">
            <w:pPr>
              <w:widowControl w:val="0"/>
              <w:spacing w:after="320" w:line="240" w:lineRule="auto"/>
              <w:rPr>
                <w:rFonts w:ascii="Google Sans" w:eastAsia="Google Sans" w:hAnsi="Google Sans" w:cs="Google Sans"/>
                <w:b/>
                <w:bCs/>
              </w:rPr>
            </w:pPr>
          </w:p>
          <w:p w14:paraId="35B134E7"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Tipos de sociedades en Colombia (S.A.S., S.A., LTDA).</w:t>
            </w:r>
          </w:p>
          <w:p w14:paraId="6A475B3B" w14:textId="77777777" w:rsidR="005B042A" w:rsidRDefault="005B042A">
            <w:pPr>
              <w:widowControl w:val="0"/>
              <w:spacing w:after="320" w:line="240" w:lineRule="auto"/>
              <w:rPr>
                <w:rFonts w:ascii="Google Sans" w:eastAsia="Google Sans" w:hAnsi="Google Sans" w:cs="Google Sans"/>
              </w:rPr>
            </w:pPr>
          </w:p>
          <w:p w14:paraId="4E83D40E"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Constitución, responsabilidad y representación legal.</w:t>
            </w:r>
          </w:p>
          <w:p w14:paraId="326AECF6" w14:textId="77777777" w:rsidR="005B042A" w:rsidRDefault="005B042A">
            <w:pPr>
              <w:widowControl w:val="0"/>
              <w:spacing w:after="320" w:line="240" w:lineRule="auto"/>
              <w:rPr>
                <w:rFonts w:ascii="Google Sans" w:eastAsia="Google Sans" w:hAnsi="Google Sans" w:cs="Google Sans"/>
              </w:rPr>
            </w:pPr>
          </w:p>
          <w:p w14:paraId="4B1164F8"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xml:space="preserve">- Implicaciones jurídicas para </w:t>
            </w:r>
            <w:r>
              <w:rPr>
                <w:rFonts w:ascii="Google Sans" w:eastAsia="Google Sans" w:hAnsi="Google Sans" w:cs="Google Sans"/>
              </w:rPr>
              <w:lastRenderedPageBreak/>
              <w:t>el marketing y la inversión.</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55B627F"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lastRenderedPageBreak/>
              <w:t>Actividad Formativa:</w:t>
            </w:r>
            <w:r>
              <w:rPr>
                <w:rFonts w:ascii="Google Sans" w:eastAsia="Google Sans" w:hAnsi="Google Sans" w:cs="Google Sans"/>
              </w:rPr>
              <w:t xml:space="preserve"> Juego de roles para la constitución simulada de una empresa de marketing (elaboración de minuta de S.A.S.).</w:t>
            </w:r>
          </w:p>
          <w:p w14:paraId="4DDE8B43" w14:textId="77777777" w:rsidR="005B042A" w:rsidRDefault="005B042A">
            <w:pPr>
              <w:widowControl w:val="0"/>
              <w:spacing w:after="320" w:line="240" w:lineRule="auto"/>
              <w:rPr>
                <w:rFonts w:ascii="Google Sans" w:eastAsia="Google Sans" w:hAnsi="Google Sans" w:cs="Google Sans"/>
              </w:rPr>
            </w:pPr>
          </w:p>
          <w:p w14:paraId="6D915D2F"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Aprendizaje Basado en Problemas (ABP).</w:t>
            </w:r>
          </w:p>
          <w:p w14:paraId="7CB0B7BA" w14:textId="77777777" w:rsidR="005B042A" w:rsidRDefault="005B042A">
            <w:pPr>
              <w:widowControl w:val="0"/>
              <w:spacing w:after="320" w:line="240" w:lineRule="auto"/>
              <w:rPr>
                <w:rFonts w:ascii="Google Sans" w:eastAsia="Google Sans" w:hAnsi="Google Sans" w:cs="Google Sans"/>
              </w:rPr>
            </w:pPr>
          </w:p>
          <w:p w14:paraId="22854AE4"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Guías de la Cámara de Comercio de Bucaramanga y plantilla de estatutos S.A.S.</w:t>
            </w:r>
          </w:p>
        </w:tc>
      </w:tr>
      <w:tr w:rsidR="005B042A" w14:paraId="44C745F9"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9FA2F63"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5 - 6</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DF8B085"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Propiedad Industrial y Activos Intangibles</w:t>
            </w:r>
          </w:p>
          <w:p w14:paraId="4898CA10" w14:textId="77777777" w:rsidR="005B042A" w:rsidRDefault="005B042A">
            <w:pPr>
              <w:widowControl w:val="0"/>
              <w:spacing w:after="320" w:line="240" w:lineRule="auto"/>
              <w:rPr>
                <w:rFonts w:ascii="Google Sans" w:eastAsia="Google Sans" w:hAnsi="Google Sans" w:cs="Google Sans"/>
                <w:b/>
                <w:bCs/>
              </w:rPr>
            </w:pPr>
          </w:p>
          <w:p w14:paraId="288CA972"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Signos distintivos: Marcas, lemas, nombres y enseñas comerciales.</w:t>
            </w:r>
          </w:p>
          <w:p w14:paraId="374D47E4" w14:textId="77777777" w:rsidR="005B042A" w:rsidRDefault="005B042A">
            <w:pPr>
              <w:widowControl w:val="0"/>
              <w:spacing w:after="320" w:line="240" w:lineRule="auto"/>
              <w:rPr>
                <w:rFonts w:ascii="Google Sans" w:eastAsia="Google Sans" w:hAnsi="Google Sans" w:cs="Google Sans"/>
              </w:rPr>
            </w:pPr>
          </w:p>
          <w:p w14:paraId="2ACBC8A0"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Patentes de invención, modelos de utilidad y diseños industriales.</w:t>
            </w:r>
          </w:p>
          <w:p w14:paraId="66DC70F3" w14:textId="77777777" w:rsidR="005B042A" w:rsidRDefault="005B042A">
            <w:pPr>
              <w:widowControl w:val="0"/>
              <w:spacing w:after="320" w:line="240" w:lineRule="auto"/>
              <w:rPr>
                <w:rFonts w:ascii="Google Sans" w:eastAsia="Google Sans" w:hAnsi="Google Sans" w:cs="Google Sans"/>
              </w:rPr>
            </w:pPr>
          </w:p>
          <w:p w14:paraId="31E5F76A"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Proceso de registro de marca ante la SIC.</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E516EE1"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Actividad Formativa:</w:t>
            </w:r>
            <w:r>
              <w:rPr>
                <w:rFonts w:ascii="Google Sans" w:eastAsia="Google Sans" w:hAnsi="Google Sans" w:cs="Google Sans"/>
              </w:rPr>
              <w:t xml:space="preserve"> Búsqueda de antecedentes marcarios en la base de datos de la SIC (SIPI) y diseño de la estrategia de registro para una marca propia de un producto.</w:t>
            </w:r>
          </w:p>
          <w:p w14:paraId="7517919D" w14:textId="77777777" w:rsidR="005B042A" w:rsidRDefault="005B042A">
            <w:pPr>
              <w:widowControl w:val="0"/>
              <w:spacing w:after="320" w:line="240" w:lineRule="auto"/>
              <w:rPr>
                <w:rFonts w:ascii="Google Sans" w:eastAsia="Google Sans" w:hAnsi="Google Sans" w:cs="Google Sans"/>
              </w:rPr>
            </w:pPr>
          </w:p>
          <w:p w14:paraId="243A391C"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Taller práctico de aplicación.</w:t>
            </w:r>
          </w:p>
          <w:p w14:paraId="68ADB16C" w14:textId="77777777" w:rsidR="005B042A" w:rsidRDefault="005B042A">
            <w:pPr>
              <w:widowControl w:val="0"/>
              <w:spacing w:after="320" w:line="240" w:lineRule="auto"/>
              <w:rPr>
                <w:rFonts w:ascii="Google Sans" w:eastAsia="Google Sans" w:hAnsi="Google Sans" w:cs="Google Sans"/>
              </w:rPr>
            </w:pPr>
          </w:p>
          <w:p w14:paraId="6A7C7CA9"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Plataforma SIPI (Superintendencia de Industria y Comercio). Guía de Propiedad Industrial UNAB.</w:t>
            </w:r>
          </w:p>
        </w:tc>
      </w:tr>
      <w:tr w:rsidR="005B042A" w14:paraId="5A1E985B"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BD42E7C"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7 - 8</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06081A66"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Derecho de Autor en el Marketing y la Publicidad</w:t>
            </w:r>
          </w:p>
          <w:p w14:paraId="7FE97C3D" w14:textId="77777777" w:rsidR="005B042A" w:rsidRDefault="005B042A">
            <w:pPr>
              <w:widowControl w:val="0"/>
              <w:spacing w:after="320" w:line="240" w:lineRule="auto"/>
              <w:rPr>
                <w:rFonts w:ascii="Google Sans" w:eastAsia="Google Sans" w:hAnsi="Google Sans" w:cs="Google Sans"/>
                <w:b/>
                <w:bCs/>
              </w:rPr>
            </w:pPr>
          </w:p>
          <w:p w14:paraId="3B503169"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xml:space="preserve">- Obras protegidas (diseños, contenidos, </w:t>
            </w:r>
            <w:proofErr w:type="spellStart"/>
            <w:r>
              <w:rPr>
                <w:rFonts w:ascii="Google Sans" w:eastAsia="Google Sans" w:hAnsi="Google Sans" w:cs="Google Sans"/>
              </w:rPr>
              <w:t>copys</w:t>
            </w:r>
            <w:proofErr w:type="spellEnd"/>
            <w:r>
              <w:rPr>
                <w:rFonts w:ascii="Google Sans" w:eastAsia="Google Sans" w:hAnsi="Google Sans" w:cs="Google Sans"/>
              </w:rPr>
              <w:t>, imágenes, música).</w:t>
            </w:r>
          </w:p>
          <w:p w14:paraId="0E846FBA" w14:textId="77777777" w:rsidR="005B042A" w:rsidRDefault="005B042A">
            <w:pPr>
              <w:widowControl w:val="0"/>
              <w:spacing w:after="320" w:line="240" w:lineRule="auto"/>
              <w:rPr>
                <w:rFonts w:ascii="Google Sans" w:eastAsia="Google Sans" w:hAnsi="Google Sans" w:cs="Google Sans"/>
              </w:rPr>
            </w:pPr>
          </w:p>
          <w:p w14:paraId="09BED93D"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xml:space="preserve">- Derechos morales vs. </w:t>
            </w:r>
            <w:r>
              <w:rPr>
                <w:rFonts w:ascii="Google Sans" w:eastAsia="Google Sans" w:hAnsi="Google Sans" w:cs="Google Sans"/>
              </w:rPr>
              <w:lastRenderedPageBreak/>
              <w:t>Derechos patrimoniales.</w:t>
            </w:r>
          </w:p>
          <w:p w14:paraId="79A0A225" w14:textId="77777777" w:rsidR="005B042A" w:rsidRDefault="005B042A">
            <w:pPr>
              <w:widowControl w:val="0"/>
              <w:spacing w:after="320" w:line="240" w:lineRule="auto"/>
              <w:rPr>
                <w:rFonts w:ascii="Google Sans" w:eastAsia="Google Sans" w:hAnsi="Google Sans" w:cs="Google Sans"/>
              </w:rPr>
            </w:pPr>
          </w:p>
          <w:p w14:paraId="22794CFF"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Contratos de cesión de derechos y licencias Creative Commons.</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28B8750"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lastRenderedPageBreak/>
              <w:t>Actividad Formativa:</w:t>
            </w:r>
            <w:r>
              <w:rPr>
                <w:rFonts w:ascii="Google Sans" w:eastAsia="Google Sans" w:hAnsi="Google Sans" w:cs="Google Sans"/>
              </w:rPr>
              <w:t xml:space="preserve"> Auditoría legal de una campaña publicitaria digital (identificación de licencias de banco de imágenes y música).</w:t>
            </w:r>
          </w:p>
          <w:p w14:paraId="5DD2D623" w14:textId="77777777" w:rsidR="005B042A" w:rsidRDefault="005B042A">
            <w:pPr>
              <w:widowControl w:val="0"/>
              <w:spacing w:after="320" w:line="240" w:lineRule="auto"/>
              <w:rPr>
                <w:rFonts w:ascii="Google Sans" w:eastAsia="Google Sans" w:hAnsi="Google Sans" w:cs="Google Sans"/>
              </w:rPr>
            </w:pPr>
          </w:p>
          <w:p w14:paraId="7C6DE0E4"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Estudio de Casos.</w:t>
            </w:r>
          </w:p>
          <w:p w14:paraId="1E59856A" w14:textId="77777777" w:rsidR="005B042A" w:rsidRDefault="005B042A">
            <w:pPr>
              <w:widowControl w:val="0"/>
              <w:spacing w:after="320" w:line="240" w:lineRule="auto"/>
              <w:rPr>
                <w:rFonts w:ascii="Google Sans" w:eastAsia="Google Sans" w:hAnsi="Google Sans" w:cs="Google Sans"/>
              </w:rPr>
            </w:pPr>
          </w:p>
          <w:p w14:paraId="6B5FED46"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Ley 23 de 1982 y Tratados de la OMPI. Repositorio de recursos Open </w:t>
            </w:r>
            <w:proofErr w:type="spellStart"/>
            <w:r>
              <w:rPr>
                <w:rFonts w:ascii="Google Sans" w:eastAsia="Google Sans" w:hAnsi="Google Sans" w:cs="Google Sans"/>
              </w:rPr>
              <w:t>Learning</w:t>
            </w:r>
            <w:proofErr w:type="spellEnd"/>
            <w:r>
              <w:rPr>
                <w:rFonts w:ascii="Google Sans" w:eastAsia="Google Sans" w:hAnsi="Google Sans" w:cs="Google Sans"/>
              </w:rPr>
              <w:t xml:space="preserve"> UNAB.</w:t>
            </w:r>
          </w:p>
        </w:tc>
      </w:tr>
      <w:tr w:rsidR="005B042A" w14:paraId="4140E0F6"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62C7B3B2"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lastRenderedPageBreak/>
              <w:t>Semana 9 - 10</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245AF4C"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Estatuto del Consumidor (Ley 1480 de 2011)</w:t>
            </w:r>
          </w:p>
          <w:p w14:paraId="6662C535" w14:textId="77777777" w:rsidR="005B042A" w:rsidRDefault="005B042A">
            <w:pPr>
              <w:widowControl w:val="0"/>
              <w:spacing w:after="320" w:line="240" w:lineRule="auto"/>
              <w:rPr>
                <w:rFonts w:ascii="Google Sans" w:eastAsia="Google Sans" w:hAnsi="Google Sans" w:cs="Google Sans"/>
                <w:b/>
                <w:bCs/>
              </w:rPr>
            </w:pPr>
          </w:p>
          <w:p w14:paraId="763470D8"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Derechos y deberes de los consumidores.</w:t>
            </w:r>
          </w:p>
          <w:p w14:paraId="54DA1291" w14:textId="77777777" w:rsidR="005B042A" w:rsidRDefault="005B042A">
            <w:pPr>
              <w:widowControl w:val="0"/>
              <w:spacing w:after="320" w:line="240" w:lineRule="auto"/>
              <w:rPr>
                <w:rFonts w:ascii="Google Sans" w:eastAsia="Google Sans" w:hAnsi="Google Sans" w:cs="Google Sans"/>
              </w:rPr>
            </w:pPr>
          </w:p>
          <w:p w14:paraId="4D072781"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Garantías legales y servicios posventa.</w:t>
            </w:r>
          </w:p>
          <w:p w14:paraId="2683701C" w14:textId="77777777" w:rsidR="005B042A" w:rsidRDefault="005B042A">
            <w:pPr>
              <w:widowControl w:val="0"/>
              <w:spacing w:after="320" w:line="240" w:lineRule="auto"/>
              <w:rPr>
                <w:rFonts w:ascii="Google Sans" w:eastAsia="Google Sans" w:hAnsi="Google Sans" w:cs="Google Sans"/>
              </w:rPr>
            </w:pPr>
          </w:p>
          <w:p w14:paraId="1B709966"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Protección contractual y cláusulas abusivas.</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49B98C83"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Actividad Formativa:</w:t>
            </w:r>
            <w:r>
              <w:rPr>
                <w:rFonts w:ascii="Google Sans" w:eastAsia="Google Sans" w:hAnsi="Google Sans" w:cs="Google Sans"/>
              </w:rPr>
              <w:t xml:space="preserve"> Elaboración de un manual de políticas de garantías y devoluciones para una tienda virtual de marca colombiana.</w:t>
            </w:r>
          </w:p>
          <w:p w14:paraId="6E5048BE" w14:textId="77777777" w:rsidR="005B042A" w:rsidRDefault="005B042A">
            <w:pPr>
              <w:widowControl w:val="0"/>
              <w:spacing w:after="320" w:line="240" w:lineRule="auto"/>
              <w:rPr>
                <w:rFonts w:ascii="Google Sans" w:eastAsia="Google Sans" w:hAnsi="Google Sans" w:cs="Google Sans"/>
              </w:rPr>
            </w:pPr>
          </w:p>
          <w:p w14:paraId="190381FC"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Aprendizaje Basado en Proyectos.</w:t>
            </w:r>
          </w:p>
          <w:p w14:paraId="369E55D2" w14:textId="77777777" w:rsidR="005B042A" w:rsidRDefault="005B042A">
            <w:pPr>
              <w:widowControl w:val="0"/>
              <w:spacing w:after="320" w:line="240" w:lineRule="auto"/>
              <w:rPr>
                <w:rFonts w:ascii="Google Sans" w:eastAsia="Google Sans" w:hAnsi="Google Sans" w:cs="Google Sans"/>
              </w:rPr>
            </w:pPr>
          </w:p>
          <w:p w14:paraId="734F38BF"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Ley 1480 de 2011 y cartillas normativas de la SIC sobre protección al consumidor.</w:t>
            </w:r>
          </w:p>
        </w:tc>
      </w:tr>
      <w:tr w:rsidR="005B042A" w14:paraId="30074EAF"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10314A8"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11 - 12</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1E3C6253"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Regulación de la Publicidad y Promociones</w:t>
            </w:r>
          </w:p>
          <w:p w14:paraId="0D94D635" w14:textId="77777777" w:rsidR="005B042A" w:rsidRDefault="005B042A">
            <w:pPr>
              <w:widowControl w:val="0"/>
              <w:spacing w:after="320" w:line="240" w:lineRule="auto"/>
              <w:rPr>
                <w:rFonts w:ascii="Google Sans" w:eastAsia="Google Sans" w:hAnsi="Google Sans" w:cs="Google Sans"/>
                <w:b/>
                <w:bCs/>
              </w:rPr>
            </w:pPr>
          </w:p>
          <w:p w14:paraId="21EA70BE"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Publicidad engañosa, agresiva e ilícita.</w:t>
            </w:r>
          </w:p>
          <w:p w14:paraId="39F3F96C" w14:textId="77777777" w:rsidR="005B042A" w:rsidRDefault="005B042A">
            <w:pPr>
              <w:widowControl w:val="0"/>
              <w:spacing w:after="320" w:line="240" w:lineRule="auto"/>
              <w:rPr>
                <w:rFonts w:ascii="Google Sans" w:eastAsia="Google Sans" w:hAnsi="Google Sans" w:cs="Google Sans"/>
              </w:rPr>
            </w:pPr>
          </w:p>
          <w:p w14:paraId="5FB47A40"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Promociones, ofertas, concursos y sorteos (regulación Coljuegos/SIC).</w:t>
            </w:r>
          </w:p>
          <w:p w14:paraId="29C2D72C" w14:textId="77777777" w:rsidR="005B042A" w:rsidRDefault="005B042A">
            <w:pPr>
              <w:widowControl w:val="0"/>
              <w:spacing w:after="320" w:line="240" w:lineRule="auto"/>
              <w:rPr>
                <w:rFonts w:ascii="Google Sans" w:eastAsia="Google Sans" w:hAnsi="Google Sans" w:cs="Google Sans"/>
              </w:rPr>
            </w:pPr>
          </w:p>
          <w:p w14:paraId="32C5785E"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Autorregulación publicitaria y rol de la CONARP.</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CA78FA1"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lastRenderedPageBreak/>
              <w:t>Actividad Formativa:</w:t>
            </w:r>
            <w:r>
              <w:rPr>
                <w:rFonts w:ascii="Google Sans" w:eastAsia="Google Sans" w:hAnsi="Google Sans" w:cs="Google Sans"/>
              </w:rPr>
              <w:t xml:space="preserve"> Debate tipo "Tribunal Ético y Legal" sobre piezas publicitarias reales sancionadas por la SIC por publicidad engañosa.</w:t>
            </w:r>
          </w:p>
          <w:p w14:paraId="233DF965" w14:textId="77777777" w:rsidR="005B042A" w:rsidRDefault="005B042A">
            <w:pPr>
              <w:widowControl w:val="0"/>
              <w:spacing w:after="320" w:line="240" w:lineRule="auto"/>
              <w:rPr>
                <w:rFonts w:ascii="Google Sans" w:eastAsia="Google Sans" w:hAnsi="Google Sans" w:cs="Google Sans"/>
              </w:rPr>
            </w:pPr>
          </w:p>
          <w:p w14:paraId="1B954C5E"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Debate y simulación de juicios.</w:t>
            </w:r>
          </w:p>
          <w:p w14:paraId="499F8039" w14:textId="77777777" w:rsidR="005B042A" w:rsidRDefault="005B042A">
            <w:pPr>
              <w:widowControl w:val="0"/>
              <w:spacing w:after="320" w:line="240" w:lineRule="auto"/>
              <w:rPr>
                <w:rFonts w:ascii="Google Sans" w:eastAsia="Google Sans" w:hAnsi="Google Sans" w:cs="Google Sans"/>
              </w:rPr>
            </w:pPr>
          </w:p>
          <w:p w14:paraId="0706EEE4"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Boletines jurisprudenciales de la SIC. Código de Autorregulación Publicitaria.</w:t>
            </w:r>
          </w:p>
        </w:tc>
      </w:tr>
      <w:tr w:rsidR="005B042A" w14:paraId="329E6637"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3626FB6"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lastRenderedPageBreak/>
              <w:t>Semana 13 - 14</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12644E52"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Derecho de la Competencia y Competencia Desleal</w:t>
            </w:r>
          </w:p>
          <w:p w14:paraId="2D1D51EB" w14:textId="77777777" w:rsidR="005B042A" w:rsidRDefault="005B042A">
            <w:pPr>
              <w:widowControl w:val="0"/>
              <w:spacing w:after="320" w:line="240" w:lineRule="auto"/>
              <w:rPr>
                <w:rFonts w:ascii="Google Sans" w:eastAsia="Google Sans" w:hAnsi="Google Sans" w:cs="Google Sans"/>
                <w:b/>
                <w:bCs/>
              </w:rPr>
            </w:pPr>
          </w:p>
          <w:p w14:paraId="58DC6BB4"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Régimen de libre competencia económica.</w:t>
            </w:r>
          </w:p>
          <w:p w14:paraId="1B1CAF3C" w14:textId="77777777" w:rsidR="005B042A" w:rsidRDefault="005B042A">
            <w:pPr>
              <w:widowControl w:val="0"/>
              <w:spacing w:after="320" w:line="240" w:lineRule="auto"/>
              <w:rPr>
                <w:rFonts w:ascii="Google Sans" w:eastAsia="Google Sans" w:hAnsi="Google Sans" w:cs="Google Sans"/>
              </w:rPr>
            </w:pPr>
          </w:p>
          <w:p w14:paraId="367B5848"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Actos de competencia desleal (desviación de clientela, confusión, desacreditación, imitación, violación de secretos).</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34F68093"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Actividad Formativa:</w:t>
            </w:r>
            <w:r>
              <w:rPr>
                <w:rFonts w:ascii="Google Sans" w:eastAsia="Google Sans" w:hAnsi="Google Sans" w:cs="Google Sans"/>
              </w:rPr>
              <w:t xml:space="preserve"> Análisis de sentencias judiciales sobre guerras publicitarias entre grandes marcas y alegaciones de competencia desleal.</w:t>
            </w:r>
          </w:p>
          <w:p w14:paraId="6FAF46A4" w14:textId="77777777" w:rsidR="005B042A" w:rsidRDefault="005B042A">
            <w:pPr>
              <w:widowControl w:val="0"/>
              <w:spacing w:after="320" w:line="240" w:lineRule="auto"/>
              <w:rPr>
                <w:rFonts w:ascii="Google Sans" w:eastAsia="Google Sans" w:hAnsi="Google Sans" w:cs="Google Sans"/>
              </w:rPr>
            </w:pPr>
          </w:p>
          <w:p w14:paraId="3235E71B"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Método del Caso.</w:t>
            </w:r>
          </w:p>
          <w:p w14:paraId="58EFD571" w14:textId="77777777" w:rsidR="005B042A" w:rsidRDefault="005B042A">
            <w:pPr>
              <w:widowControl w:val="0"/>
              <w:spacing w:after="320" w:line="240" w:lineRule="auto"/>
              <w:rPr>
                <w:rFonts w:ascii="Google Sans" w:eastAsia="Google Sans" w:hAnsi="Google Sans" w:cs="Google Sans"/>
              </w:rPr>
            </w:pPr>
          </w:p>
          <w:p w14:paraId="03DC39B4"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Ley 256 de 1996 sobre Competencia Desleal.</w:t>
            </w:r>
          </w:p>
        </w:tc>
      </w:tr>
      <w:tr w:rsidR="005B042A" w14:paraId="540CF502" w14:textId="77777777">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01C40BD3"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15 - 16</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90647D6" w14:textId="77777777" w:rsidR="005B042A" w:rsidRDefault="0072378B">
            <w:pPr>
              <w:widowControl w:val="0"/>
              <w:spacing w:before="320" w:after="320" w:line="240" w:lineRule="auto"/>
              <w:rPr>
                <w:rFonts w:ascii="Google Sans" w:eastAsia="Google Sans" w:hAnsi="Google Sans" w:cs="Google Sans"/>
                <w:b/>
                <w:bCs/>
              </w:rPr>
            </w:pPr>
            <w:r>
              <w:rPr>
                <w:rFonts w:ascii="Google Sans" w:eastAsia="Google Sans" w:hAnsi="Google Sans" w:cs="Google Sans"/>
                <w:b/>
                <w:bCs/>
              </w:rPr>
              <w:t>Comercio Electrónico, Habeas Data y Contratos Digitales</w:t>
            </w:r>
          </w:p>
          <w:p w14:paraId="60FEC0B2" w14:textId="77777777" w:rsidR="005B042A" w:rsidRDefault="005B042A">
            <w:pPr>
              <w:widowControl w:val="0"/>
              <w:spacing w:after="320" w:line="240" w:lineRule="auto"/>
              <w:rPr>
                <w:rFonts w:ascii="Google Sans" w:eastAsia="Google Sans" w:hAnsi="Google Sans" w:cs="Google Sans"/>
                <w:b/>
                <w:bCs/>
              </w:rPr>
            </w:pPr>
          </w:p>
          <w:p w14:paraId="28336959"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lastRenderedPageBreak/>
              <w:t>- Ley de Comercio Electrónico (Ley 527 de 1999).</w:t>
            </w:r>
          </w:p>
          <w:p w14:paraId="575D3866" w14:textId="77777777" w:rsidR="005B042A" w:rsidRDefault="005B042A">
            <w:pPr>
              <w:widowControl w:val="0"/>
              <w:spacing w:after="320" w:line="240" w:lineRule="auto"/>
              <w:rPr>
                <w:rFonts w:ascii="Google Sans" w:eastAsia="Google Sans" w:hAnsi="Google Sans" w:cs="Google Sans"/>
              </w:rPr>
            </w:pPr>
          </w:p>
          <w:p w14:paraId="2E497C52"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xml:space="preserve">- Términos y condiciones, políticas de privacidad y </w:t>
            </w:r>
            <w:r>
              <w:rPr>
                <w:rFonts w:ascii="Google Sans" w:eastAsia="Google Sans" w:hAnsi="Google Sans" w:cs="Google Sans"/>
                <w:i/>
                <w:iCs/>
              </w:rPr>
              <w:t>cookies</w:t>
            </w:r>
            <w:r>
              <w:rPr>
                <w:rFonts w:ascii="Google Sans" w:eastAsia="Google Sans" w:hAnsi="Google Sans" w:cs="Google Sans"/>
              </w:rPr>
              <w:t>.</w:t>
            </w:r>
          </w:p>
          <w:p w14:paraId="54331268" w14:textId="77777777" w:rsidR="005B042A" w:rsidRDefault="005B042A">
            <w:pPr>
              <w:widowControl w:val="0"/>
              <w:spacing w:after="320" w:line="240" w:lineRule="auto"/>
              <w:rPr>
                <w:rFonts w:ascii="Google Sans" w:eastAsia="Google Sans" w:hAnsi="Google Sans" w:cs="Google Sans"/>
              </w:rPr>
            </w:pPr>
          </w:p>
          <w:p w14:paraId="4655F799"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rPr>
              <w:t>- Protección de datos personales (Ley 1581 de 2012 / Habeas Data en Marketing).</w:t>
            </w:r>
          </w:p>
        </w:tc>
        <w:tc>
          <w:tcPr>
            <w:tcW w:w="3120"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6B087DEC"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lastRenderedPageBreak/>
              <w:t>Actividad Formativa:</w:t>
            </w:r>
            <w:r>
              <w:rPr>
                <w:rFonts w:ascii="Google Sans" w:eastAsia="Google Sans" w:hAnsi="Google Sans" w:cs="Google Sans"/>
              </w:rPr>
              <w:t xml:space="preserve"> Redacción de la Política de Tratamiento de Datos Personales y aceptación de Términos y Condiciones para </w:t>
            </w:r>
            <w:r>
              <w:rPr>
                <w:rFonts w:ascii="Google Sans" w:eastAsia="Google Sans" w:hAnsi="Google Sans" w:cs="Google Sans"/>
              </w:rPr>
              <w:lastRenderedPageBreak/>
              <w:t xml:space="preserve">una </w:t>
            </w:r>
            <w:proofErr w:type="gramStart"/>
            <w:r>
              <w:rPr>
                <w:rFonts w:ascii="Google Sans" w:eastAsia="Google Sans" w:hAnsi="Google Sans" w:cs="Google Sans"/>
              </w:rPr>
              <w:t>app</w:t>
            </w:r>
            <w:proofErr w:type="gramEnd"/>
            <w:r>
              <w:rPr>
                <w:rFonts w:ascii="Google Sans" w:eastAsia="Google Sans" w:hAnsi="Google Sans" w:cs="Google Sans"/>
              </w:rPr>
              <w:t xml:space="preserve"> de marketing.</w:t>
            </w:r>
          </w:p>
          <w:p w14:paraId="3FD3C2AB" w14:textId="77777777" w:rsidR="005B042A" w:rsidRDefault="005B042A">
            <w:pPr>
              <w:widowControl w:val="0"/>
              <w:spacing w:after="320" w:line="240" w:lineRule="auto"/>
              <w:rPr>
                <w:rFonts w:ascii="Google Sans" w:eastAsia="Google Sans" w:hAnsi="Google Sans" w:cs="Google Sans"/>
              </w:rPr>
            </w:pPr>
          </w:p>
          <w:p w14:paraId="39DFDE62"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Metodología:</w:t>
            </w:r>
            <w:r>
              <w:rPr>
                <w:rFonts w:ascii="Google Sans" w:eastAsia="Google Sans" w:hAnsi="Google Sans" w:cs="Google Sans"/>
              </w:rPr>
              <w:t xml:space="preserve"> Taller integrado final.</w:t>
            </w:r>
          </w:p>
          <w:p w14:paraId="5C631B49" w14:textId="77777777" w:rsidR="005B042A" w:rsidRDefault="005B042A">
            <w:pPr>
              <w:widowControl w:val="0"/>
              <w:spacing w:after="320" w:line="240" w:lineRule="auto"/>
              <w:rPr>
                <w:rFonts w:ascii="Google Sans" w:eastAsia="Google Sans" w:hAnsi="Google Sans" w:cs="Google Sans"/>
              </w:rPr>
            </w:pPr>
          </w:p>
          <w:p w14:paraId="611A9682" w14:textId="77777777" w:rsidR="005B042A" w:rsidRDefault="0072378B">
            <w:pPr>
              <w:widowControl w:val="0"/>
              <w:spacing w:before="320" w:after="320" w:line="240" w:lineRule="auto"/>
              <w:rPr>
                <w:rFonts w:ascii="Google Sans" w:eastAsia="Google Sans" w:hAnsi="Google Sans" w:cs="Google Sans"/>
              </w:rPr>
            </w:pPr>
            <w:r>
              <w:rPr>
                <w:rFonts w:ascii="Google Sans" w:eastAsia="Google Sans" w:hAnsi="Google Sans" w:cs="Google Sans"/>
                <w:b/>
                <w:bCs/>
              </w:rPr>
              <w:t>Recursos:</w:t>
            </w:r>
            <w:r>
              <w:rPr>
                <w:rFonts w:ascii="Google Sans" w:eastAsia="Google Sans" w:hAnsi="Google Sans" w:cs="Google Sans"/>
              </w:rPr>
              <w:t xml:space="preserve"> Ley 1581 de 2012. Recursos digitales en </w:t>
            </w:r>
            <w:hyperlink r:id="rId5" w:anchor="recursos">
              <w:r>
                <w:rPr>
                  <w:rFonts w:ascii="Google Sans" w:eastAsia="Google Sans" w:hAnsi="Google Sans" w:cs="Google Sans"/>
                  <w:color w:val="0000EE"/>
                  <w:u w:val="single"/>
                </w:rPr>
                <w:t xml:space="preserve">UNAB Open </w:t>
              </w:r>
              <w:proofErr w:type="spellStart"/>
              <w:r>
                <w:rPr>
                  <w:rFonts w:ascii="Google Sans" w:eastAsia="Google Sans" w:hAnsi="Google Sans" w:cs="Google Sans"/>
                  <w:color w:val="0000EE"/>
                  <w:u w:val="single"/>
                </w:rPr>
                <w:t>Learning</w:t>
              </w:r>
              <w:proofErr w:type="spellEnd"/>
            </w:hyperlink>
            <w:r>
              <w:rPr>
                <w:rFonts w:ascii="Google Sans" w:eastAsia="Google Sans" w:hAnsi="Google Sans" w:cs="Google Sans"/>
              </w:rPr>
              <w:t>.</w:t>
            </w:r>
          </w:p>
        </w:tc>
      </w:tr>
    </w:tbl>
    <w:p w14:paraId="10202A44" w14:textId="77777777" w:rsidR="005B042A" w:rsidRDefault="0072378B">
      <w:pPr>
        <w:pStyle w:val="Ttulo2"/>
        <w:keepNext w:val="0"/>
        <w:keepLines w:val="0"/>
        <w:widowControl w:val="0"/>
        <w:spacing w:before="0" w:after="320" w:line="240" w:lineRule="auto"/>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lastRenderedPageBreak/>
        <w:t>6. ¿Cuál es el proceso evaluativo?</w:t>
      </w:r>
    </w:p>
    <w:p w14:paraId="3D0232B1" w14:textId="77777777" w:rsidR="005B042A" w:rsidRDefault="0072378B">
      <w:pPr>
        <w:widowControl w:val="0"/>
        <w:spacing w:after="320" w:line="240" w:lineRule="auto"/>
        <w:rPr>
          <w:rFonts w:ascii="Google Sans" w:eastAsia="Google Sans" w:hAnsi="Google Sans" w:cs="Google Sans"/>
        </w:rPr>
      </w:pPr>
      <w:r>
        <w:rPr>
          <w:rFonts w:ascii="Google Sans" w:eastAsia="Google Sans" w:hAnsi="Google Sans" w:cs="Google Sans"/>
        </w:rPr>
        <w:t>El proceso evaluativo es continuo, sumativo y formativo. Se busca garantizar una alineación constructiva entre el desempeño del estudiante en marketing y el cumplimiento de las exigencias normativas y éticas.</w:t>
      </w:r>
    </w:p>
    <w:p w14:paraId="185F8ECA" w14:textId="77777777" w:rsidR="005B042A" w:rsidRDefault="005B042A">
      <w:pPr>
        <w:widowControl w:val="0"/>
        <w:spacing w:after="225" w:line="240" w:lineRule="auto"/>
        <w:rPr>
          <w:rFonts w:ascii="Google Sans" w:eastAsia="Google Sans" w:hAnsi="Google Sans" w:cs="Google Sans"/>
        </w:rPr>
      </w:pPr>
    </w:p>
    <w:tbl>
      <w:tblPr>
        <w:tblStyle w:val="a1"/>
        <w:tblW w:w="9360" w:type="dxa"/>
        <w:tblInd w:w="0" w:type="dxa"/>
        <w:tblBorders>
          <w:top w:val="single" w:sz="6" w:space="0" w:color="DCDCDC"/>
          <w:left w:val="single" w:sz="6" w:space="0" w:color="DCDCDC"/>
          <w:bottom w:val="single" w:sz="6" w:space="0" w:color="DCDCDC"/>
          <w:right w:val="single" w:sz="6" w:space="0" w:color="DCDCDC"/>
          <w:insideH w:val="single" w:sz="6" w:space="0" w:color="DCDCDC"/>
          <w:insideV w:val="single" w:sz="6" w:space="0" w:color="DCDCDC"/>
        </w:tblBorders>
        <w:tblLayout w:type="fixed"/>
        <w:tblLook w:val="0600" w:firstRow="0" w:lastRow="0" w:firstColumn="0" w:lastColumn="0" w:noHBand="1" w:noVBand="1"/>
      </w:tblPr>
      <w:tblGrid>
        <w:gridCol w:w="1872"/>
        <w:gridCol w:w="1872"/>
        <w:gridCol w:w="1872"/>
        <w:gridCol w:w="1872"/>
        <w:gridCol w:w="1872"/>
      </w:tblGrid>
      <w:tr w:rsidR="005B042A" w14:paraId="4DAC231E" w14:textId="77777777">
        <w:trPr>
          <w:tblHeader/>
        </w:trPr>
        <w:tc>
          <w:tcPr>
            <w:tcW w:w="1872"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24F590BC"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Fecha</w:t>
            </w:r>
          </w:p>
        </w:tc>
        <w:tc>
          <w:tcPr>
            <w:tcW w:w="1872"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7BBE3C5B"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Actividad de evaluación</w:t>
            </w:r>
          </w:p>
        </w:tc>
        <w:tc>
          <w:tcPr>
            <w:tcW w:w="1872"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4C1E7AE0"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Resultado de Aprendizaje Esperado - RAE</w:t>
            </w:r>
          </w:p>
        </w:tc>
        <w:tc>
          <w:tcPr>
            <w:tcW w:w="1872"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485CBB1E"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Tipo de actividad</w:t>
            </w:r>
          </w:p>
        </w:tc>
        <w:tc>
          <w:tcPr>
            <w:tcW w:w="1872" w:type="dxa"/>
            <w:tcBorders>
              <w:top w:val="single" w:sz="6" w:space="0" w:color="DCDCDC"/>
              <w:left w:val="single" w:sz="6" w:space="0" w:color="DCDCDC"/>
              <w:bottom w:val="single" w:sz="6" w:space="0" w:color="DCDCDC"/>
              <w:right w:val="single" w:sz="6" w:space="0" w:color="DCDCDC"/>
            </w:tcBorders>
            <w:tcMar>
              <w:top w:w="180" w:type="dxa"/>
              <w:left w:w="120" w:type="dxa"/>
              <w:bottom w:w="180" w:type="dxa"/>
              <w:right w:w="120" w:type="dxa"/>
            </w:tcMar>
          </w:tcPr>
          <w:p w14:paraId="28833C46" w14:textId="77777777" w:rsidR="005B042A" w:rsidRDefault="0072378B">
            <w:pPr>
              <w:widowControl w:val="0"/>
              <w:spacing w:before="180" w:after="180" w:line="240" w:lineRule="auto"/>
              <w:rPr>
                <w:rFonts w:ascii="Google Sans" w:eastAsia="Google Sans" w:hAnsi="Google Sans" w:cs="Google Sans"/>
                <w:b/>
                <w:bCs/>
              </w:rPr>
            </w:pPr>
            <w:r>
              <w:rPr>
                <w:rFonts w:ascii="Google Sans" w:eastAsia="Google Sans" w:hAnsi="Google Sans" w:cs="Google Sans"/>
                <w:b/>
                <w:bCs/>
              </w:rPr>
              <w:t>% en la calificación total</w:t>
            </w:r>
          </w:p>
        </w:tc>
      </w:tr>
      <w:tr w:rsidR="005B042A" w14:paraId="76FA09AC" w14:textId="77777777">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FCC1FFF"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4</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34F45B45"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b/>
                <w:bCs/>
              </w:rPr>
              <w:t>Prueba Teórico-Práctica 1:</w:t>
            </w:r>
            <w:r>
              <w:rPr>
                <w:rFonts w:ascii="Google Sans" w:eastAsia="Google Sans" w:hAnsi="Google Sans" w:cs="Google Sans"/>
              </w:rPr>
              <w:t xml:space="preserve"> Evaluación individual sobre comerciante, sociedades e imprevistos </w:t>
            </w:r>
            <w:r>
              <w:rPr>
                <w:rFonts w:ascii="Google Sans" w:eastAsia="Google Sans" w:hAnsi="Google Sans" w:cs="Google Sans"/>
              </w:rPr>
              <w:lastRenderedPageBreak/>
              <w:t>legales en la constitución de empresas.</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1D5E338B"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lastRenderedPageBreak/>
              <w:t xml:space="preserve">RAE 1: Identifica las estructuras societarias e implicaciones legales comerciales de las organizaciones </w:t>
            </w:r>
            <w:r>
              <w:rPr>
                <w:rFonts w:ascii="Google Sans" w:eastAsia="Google Sans" w:hAnsi="Google Sans" w:cs="Google Sans"/>
              </w:rPr>
              <w:lastRenderedPageBreak/>
              <w:t>en Colombia.</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41EC2E4B"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lastRenderedPageBreak/>
              <w:t>Individual</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1CB8C213"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15%</w:t>
            </w:r>
          </w:p>
        </w:tc>
      </w:tr>
      <w:tr w:rsidR="005B042A" w14:paraId="3236E77F" w14:textId="77777777">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1520338"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8</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2525F5F"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b/>
                <w:bCs/>
              </w:rPr>
              <w:t>Taller de Registro y Protección de Activos:</w:t>
            </w:r>
            <w:r>
              <w:rPr>
                <w:rFonts w:ascii="Google Sans" w:eastAsia="Google Sans" w:hAnsi="Google Sans" w:cs="Google Sans"/>
              </w:rPr>
              <w:t xml:space="preserve"> Presentación del estudio de </w:t>
            </w:r>
            <w:proofErr w:type="spellStart"/>
            <w:r>
              <w:rPr>
                <w:rFonts w:ascii="Google Sans" w:eastAsia="Google Sans" w:hAnsi="Google Sans" w:cs="Google Sans"/>
              </w:rPr>
              <w:t>registrabilidad</w:t>
            </w:r>
            <w:proofErr w:type="spellEnd"/>
            <w:r>
              <w:rPr>
                <w:rFonts w:ascii="Google Sans" w:eastAsia="Google Sans" w:hAnsi="Google Sans" w:cs="Google Sans"/>
              </w:rPr>
              <w:t xml:space="preserve"> de marca y contrato de cesión de derechos de autor para una campaña publicitaria.</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D21AC3B"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RAE 2: Estructura la estrategia de protección de marca e intangibles mediante herramientas de propiedad industrial y derechos de autor.</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6FD942D9"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Grupal</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CE682DA"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20%</w:t>
            </w:r>
          </w:p>
        </w:tc>
      </w:tr>
      <w:tr w:rsidR="005B042A" w14:paraId="571AA0BC" w14:textId="77777777">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F5BC82D"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11</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F1B6CC4"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b/>
                <w:bCs/>
              </w:rPr>
              <w:t>Dictamen de Auditoría Publicitaria:</w:t>
            </w:r>
            <w:r>
              <w:rPr>
                <w:rFonts w:ascii="Google Sans" w:eastAsia="Google Sans" w:hAnsi="Google Sans" w:cs="Google Sans"/>
              </w:rPr>
              <w:t xml:space="preserve"> Análisis de una campaña publicitaria real evaluando riesgos de publicidad engañosa y violaciones al Estatuto del Consumidor.</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A28964F"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RAE 3: Evalúa la conformidad legal de campañas promocionales frente a la regulación de protección al consumidor y publicidad.</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621B3F52"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Grupal</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4A5918D6"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20%</w:t>
            </w:r>
          </w:p>
        </w:tc>
      </w:tr>
      <w:tr w:rsidR="005B042A" w14:paraId="22375FB6" w14:textId="77777777">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339521B7"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14</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7B3B4603"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b/>
                <w:bCs/>
              </w:rPr>
              <w:t>Estudio de Caso - Competencia Desleal:</w:t>
            </w:r>
            <w:r>
              <w:rPr>
                <w:rFonts w:ascii="Google Sans" w:eastAsia="Google Sans" w:hAnsi="Google Sans" w:cs="Google Sans"/>
              </w:rPr>
              <w:t xml:space="preserve"> Análisis y sustentación </w:t>
            </w:r>
            <w:r>
              <w:rPr>
                <w:rFonts w:ascii="Google Sans" w:eastAsia="Google Sans" w:hAnsi="Google Sans" w:cs="Google Sans"/>
              </w:rPr>
              <w:lastRenderedPageBreak/>
              <w:t>argumentada sobre un litigio real o hipotético de competencia desleal en marketing digital.</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BF9EDCF"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lastRenderedPageBreak/>
              <w:t xml:space="preserve">RAE 4: Aplica los criterios normativos de libre competencia </w:t>
            </w:r>
            <w:r>
              <w:rPr>
                <w:rFonts w:ascii="Google Sans" w:eastAsia="Google Sans" w:hAnsi="Google Sans" w:cs="Google Sans"/>
              </w:rPr>
              <w:lastRenderedPageBreak/>
              <w:t>para prevenir prácticas desleales en el mercado.</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E24D679"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lastRenderedPageBreak/>
              <w:t>Individual</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5644A33E"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20%</w:t>
            </w:r>
          </w:p>
        </w:tc>
      </w:tr>
      <w:tr w:rsidR="005B042A" w14:paraId="737B0D49" w14:textId="77777777">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415F88F5" w14:textId="77777777" w:rsidR="005B042A" w:rsidRDefault="0072378B">
            <w:pPr>
              <w:widowControl w:val="0"/>
              <w:spacing w:before="120" w:after="120" w:line="240" w:lineRule="auto"/>
              <w:rPr>
                <w:rFonts w:ascii="Google Sans" w:eastAsia="Google Sans" w:hAnsi="Google Sans" w:cs="Google Sans"/>
                <w:b/>
                <w:bCs/>
              </w:rPr>
            </w:pPr>
            <w:r>
              <w:rPr>
                <w:rFonts w:ascii="Google Sans" w:eastAsia="Google Sans" w:hAnsi="Google Sans" w:cs="Google Sans"/>
                <w:b/>
                <w:bCs/>
              </w:rPr>
              <w:t>Semana 16</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0915EF8E"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b/>
                <w:bCs/>
              </w:rPr>
              <w:t>Proyecto Integrador Final:</w:t>
            </w:r>
            <w:r>
              <w:rPr>
                <w:rFonts w:ascii="Google Sans" w:eastAsia="Google Sans" w:hAnsi="Google Sans" w:cs="Google Sans"/>
              </w:rPr>
              <w:t xml:space="preserve"> Construcción del "Dossier Legal y Ético de un Plan de Marketing" (incluye Términos y Condiciones, E-</w:t>
            </w:r>
            <w:proofErr w:type="spellStart"/>
            <w:r>
              <w:rPr>
                <w:rFonts w:ascii="Google Sans" w:eastAsia="Google Sans" w:hAnsi="Google Sans" w:cs="Google Sans"/>
              </w:rPr>
              <w:t>commerce</w:t>
            </w:r>
            <w:proofErr w:type="spellEnd"/>
            <w:r>
              <w:rPr>
                <w:rFonts w:ascii="Google Sans" w:eastAsia="Google Sans" w:hAnsi="Google Sans" w:cs="Google Sans"/>
              </w:rPr>
              <w:t>, Políticas de Datos Personales y Contratos de Servidores/</w:t>
            </w:r>
            <w:proofErr w:type="spellStart"/>
            <w:r>
              <w:rPr>
                <w:rFonts w:ascii="Google Sans" w:eastAsia="Google Sans" w:hAnsi="Google Sans" w:cs="Google Sans"/>
              </w:rPr>
              <w:t>Influencers</w:t>
            </w:r>
            <w:proofErr w:type="spellEnd"/>
            <w:r>
              <w:rPr>
                <w:rFonts w:ascii="Google Sans" w:eastAsia="Google Sans" w:hAnsi="Google Sans" w:cs="Google Sans"/>
              </w:rPr>
              <w:t>).</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993D82E"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RAE 1, RAE 2, RAE 3 y RAE 4 (Integración del curso).</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27D91C07"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Grupal</w:t>
            </w:r>
          </w:p>
        </w:tc>
        <w:tc>
          <w:tcPr>
            <w:tcW w:w="1872" w:type="dxa"/>
            <w:tcBorders>
              <w:top w:val="single" w:sz="6" w:space="0" w:color="DCDCDC"/>
              <w:left w:val="single" w:sz="6" w:space="0" w:color="DCDCDC"/>
              <w:bottom w:val="single" w:sz="6" w:space="0" w:color="DCDCDC"/>
              <w:right w:val="single" w:sz="6" w:space="0" w:color="DCDCDC"/>
            </w:tcBorders>
            <w:tcMar>
              <w:top w:w="120" w:type="dxa"/>
              <w:left w:w="120" w:type="dxa"/>
              <w:bottom w:w="120" w:type="dxa"/>
              <w:right w:w="120" w:type="dxa"/>
            </w:tcMar>
          </w:tcPr>
          <w:p w14:paraId="4F14FEAD" w14:textId="77777777" w:rsidR="005B042A" w:rsidRDefault="0072378B">
            <w:pPr>
              <w:widowControl w:val="0"/>
              <w:spacing w:before="120" w:after="120" w:line="240" w:lineRule="auto"/>
              <w:rPr>
                <w:rFonts w:ascii="Google Sans" w:eastAsia="Google Sans" w:hAnsi="Google Sans" w:cs="Google Sans"/>
              </w:rPr>
            </w:pPr>
            <w:r>
              <w:rPr>
                <w:rFonts w:ascii="Google Sans" w:eastAsia="Google Sans" w:hAnsi="Google Sans" w:cs="Google Sans"/>
              </w:rPr>
              <w:t>25%</w:t>
            </w:r>
          </w:p>
        </w:tc>
      </w:tr>
    </w:tbl>
    <w:p w14:paraId="52B98C93" w14:textId="77777777" w:rsidR="005B042A" w:rsidRDefault="0072378B">
      <w:pPr>
        <w:pStyle w:val="Ttulo2"/>
        <w:keepNext w:val="0"/>
        <w:keepLines w:val="0"/>
        <w:widowControl w:val="0"/>
        <w:spacing w:before="0" w:after="320" w:line="240" w:lineRule="auto"/>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t>7. Acuerdos y reglas de clase</w:t>
      </w:r>
    </w:p>
    <w:p w14:paraId="3352C256"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Recuerde que por reglamento estudiantil el límite de inasistencia en pregrado es del 20%.</w:t>
      </w:r>
    </w:p>
    <w:p w14:paraId="08F63C68"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a) </w:t>
      </w:r>
      <w:r>
        <w:rPr>
          <w:rFonts w:ascii="Google Sans" w:eastAsia="Google Sans" w:hAnsi="Google Sans" w:cs="Google Sans"/>
          <w:b/>
          <w:bCs/>
        </w:rPr>
        <w:t>Hora de inicio y finalización:</w:t>
      </w:r>
      <w:r>
        <w:rPr>
          <w:rFonts w:ascii="Google Sans" w:eastAsia="Google Sans" w:hAnsi="Google Sans" w:cs="Google Sans"/>
        </w:rPr>
        <w:t xml:space="preserve"> La clase iniciará puntualmente a la hora programada. Se otorga un margen máximo de 10 minutos para el ingreso. Transcurrido este tiempo, se registrará la inasistencia correspondiente.</w:t>
      </w:r>
    </w:p>
    <w:p w14:paraId="6978091E"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b) </w:t>
      </w:r>
      <w:r>
        <w:rPr>
          <w:rFonts w:ascii="Google Sans" w:eastAsia="Google Sans" w:hAnsi="Google Sans" w:cs="Google Sans"/>
          <w:b/>
          <w:bCs/>
        </w:rPr>
        <w:t>Uso del celular en clase:</w:t>
      </w:r>
      <w:r>
        <w:rPr>
          <w:rFonts w:ascii="Google Sans" w:eastAsia="Google Sans" w:hAnsi="Google Sans" w:cs="Google Sans"/>
        </w:rPr>
        <w:t xml:space="preserve"> El uso de teléfonos móviles y dispositivos inteligentes está permitido y fomentado cuando se destine a actividades pedagógicas (búsqueda de normas, interacción con JUNO o ejercicios en línea). Durante las explicaciones y exposiciones directas, deberá permanecer en modo silencioso.</w:t>
      </w:r>
    </w:p>
    <w:p w14:paraId="3D02AB9A"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lastRenderedPageBreak/>
        <w:t xml:space="preserve">c) </w:t>
      </w:r>
      <w:r>
        <w:rPr>
          <w:rFonts w:ascii="Google Sans" w:eastAsia="Google Sans" w:hAnsi="Google Sans" w:cs="Google Sans"/>
          <w:b/>
          <w:bCs/>
        </w:rPr>
        <w:t>Maneras de intervención y participación:</w:t>
      </w:r>
      <w:r>
        <w:rPr>
          <w:rFonts w:ascii="Google Sans" w:eastAsia="Google Sans" w:hAnsi="Google Sans" w:cs="Google Sans"/>
        </w:rPr>
        <w:t xml:space="preserve"> Se promueve la escucha activa y la participación respetuosa. Para intervenir, los estudiantes solicitarán la palabra levantando la mano (presencial o virtual). Las opiniones deben fundamentarse en argumentos técnicos o jurídicos y guardar respeto por el pensamiento ajeno.</w:t>
      </w:r>
    </w:p>
    <w:p w14:paraId="2A7DF569"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d) </w:t>
      </w:r>
      <w:r>
        <w:rPr>
          <w:rFonts w:ascii="Google Sans" w:eastAsia="Google Sans" w:hAnsi="Google Sans" w:cs="Google Sans"/>
          <w:b/>
          <w:bCs/>
        </w:rPr>
        <w:t>Descansos:</w:t>
      </w:r>
      <w:r>
        <w:rPr>
          <w:rFonts w:ascii="Google Sans" w:eastAsia="Google Sans" w:hAnsi="Google Sans" w:cs="Google Sans"/>
        </w:rPr>
        <w:t xml:space="preserve"> Para sesiones de 3 horas continuas, se acordará un descanso institucional de 15 a 20 minutos en la mitad de la jornada.</w:t>
      </w:r>
    </w:p>
    <w:p w14:paraId="3D3C750B"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e) </w:t>
      </w:r>
      <w:r>
        <w:rPr>
          <w:rFonts w:ascii="Google Sans" w:eastAsia="Google Sans" w:hAnsi="Google Sans" w:cs="Google Sans"/>
          <w:b/>
          <w:bCs/>
        </w:rPr>
        <w:t>Entrega de actividades:</w:t>
      </w:r>
      <w:r>
        <w:rPr>
          <w:rFonts w:ascii="Google Sans" w:eastAsia="Google Sans" w:hAnsi="Google Sans" w:cs="Google Sans"/>
        </w:rPr>
        <w:t xml:space="preserve"> Todas las actividades formativas y evaluativas se entregarán exclusivamente a través de la plataforma institucional (</w:t>
      </w:r>
      <w:proofErr w:type="spellStart"/>
      <w:r>
        <w:rPr>
          <w:rFonts w:ascii="Google Sans" w:eastAsia="Google Sans" w:hAnsi="Google Sans" w:cs="Google Sans"/>
        </w:rPr>
        <w:t>Canvas</w:t>
      </w:r>
      <w:proofErr w:type="spellEnd"/>
      <w:r>
        <w:rPr>
          <w:rFonts w:ascii="Google Sans" w:eastAsia="Google Sans" w:hAnsi="Google Sans" w:cs="Google Sans"/>
        </w:rPr>
        <w:t xml:space="preserve">) en las fechas y horas estipuladas. No se recibirán trabajos por correo electrónico salvo contingencias técnicas soportadas ante la Dirección de Tecnología. Las </w:t>
      </w:r>
      <w:proofErr w:type="spellStart"/>
      <w:r>
        <w:rPr>
          <w:rFonts w:ascii="Google Sans" w:eastAsia="Google Sans" w:hAnsi="Google Sans" w:cs="Google Sans"/>
        </w:rPr>
        <w:t>entregasextemporáneas</w:t>
      </w:r>
      <w:proofErr w:type="spellEnd"/>
      <w:r>
        <w:rPr>
          <w:rFonts w:ascii="Google Sans" w:eastAsia="Google Sans" w:hAnsi="Google Sans" w:cs="Google Sans"/>
        </w:rPr>
        <w:t xml:space="preserve"> justificadas tendrán un plazo máximo de 3 días hábiles conforme al reglamento.</w:t>
      </w:r>
    </w:p>
    <w:p w14:paraId="5362EDCD"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f) </w:t>
      </w:r>
      <w:r>
        <w:rPr>
          <w:rFonts w:ascii="Google Sans" w:eastAsia="Google Sans" w:hAnsi="Google Sans" w:cs="Google Sans"/>
          <w:b/>
          <w:bCs/>
        </w:rPr>
        <w:t>Orientaciones para trabajo en grupo:</w:t>
      </w:r>
      <w:r>
        <w:rPr>
          <w:rFonts w:ascii="Google Sans" w:eastAsia="Google Sans" w:hAnsi="Google Sans" w:cs="Google Sans"/>
        </w:rPr>
        <w:t xml:space="preserve"> Los equipos serán de máximo 4 integrantes. Todo trabajo en equipo debe incluir una coevaluación del compromiso de sus miembros; la nota final individual podrá ajustarse según el desempeño y la participación demostrada.</w:t>
      </w:r>
    </w:p>
    <w:p w14:paraId="1549C444" w14:textId="77777777" w:rsidR="005B042A" w:rsidRDefault="0072378B">
      <w:pPr>
        <w:pStyle w:val="Ttulo2"/>
        <w:keepNext w:val="0"/>
        <w:keepLines w:val="0"/>
        <w:widowControl w:val="0"/>
        <w:spacing w:before="0" w:after="320" w:line="240" w:lineRule="auto"/>
        <w:jc w:val="both"/>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t>8. Componentes éticos</w:t>
      </w:r>
    </w:p>
    <w:p w14:paraId="49FB22AB"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En la UNAB, la ética y la integridad son pilares que orientan todas las experiencias de aprendizaje. Se invita a las y los estudiantes a asumir las siguientes orientaciones:</w:t>
      </w:r>
    </w:p>
    <w:p w14:paraId="426DDC47"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a) </w:t>
      </w:r>
      <w:r>
        <w:rPr>
          <w:rFonts w:ascii="Google Sans" w:eastAsia="Google Sans" w:hAnsi="Google Sans" w:cs="Google Sans"/>
          <w:b/>
          <w:bCs/>
        </w:rPr>
        <w:t>Respetar la propiedad intelectual</w:t>
      </w:r>
      <w:r>
        <w:rPr>
          <w:rFonts w:ascii="Google Sans" w:eastAsia="Google Sans" w:hAnsi="Google Sans" w:cs="Google Sans"/>
        </w:rPr>
        <w:t>, evitando cualquier forma de plagio, apropiación indebida de ideas o recursos, y citando correctamente las fuentes utilizadas (Normas APA / Icontec).</w:t>
      </w:r>
    </w:p>
    <w:p w14:paraId="0BA867B0"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b) </w:t>
      </w:r>
      <w:r>
        <w:rPr>
          <w:rFonts w:ascii="Google Sans" w:eastAsia="Google Sans" w:hAnsi="Google Sans" w:cs="Google Sans"/>
          <w:b/>
          <w:bCs/>
        </w:rPr>
        <w:t>Actuar con integridad y ética ciudadana</w:t>
      </w:r>
      <w:r>
        <w:rPr>
          <w:rFonts w:ascii="Google Sans" w:eastAsia="Google Sans" w:hAnsi="Google Sans" w:cs="Google Sans"/>
        </w:rPr>
        <w:t xml:space="preserve">, manteniendo comportamientos respetuosos consigo mismo y con los demás, valorando la diversidad de ideas y ejercitando la libertad para debatir </w:t>
      </w:r>
      <w:proofErr w:type="spellStart"/>
      <w:r>
        <w:rPr>
          <w:rFonts w:ascii="Google Sans" w:eastAsia="Google Sans" w:hAnsi="Google Sans" w:cs="Google Sans"/>
        </w:rPr>
        <w:t>argumentadamente</w:t>
      </w:r>
      <w:proofErr w:type="spellEnd"/>
      <w:r>
        <w:rPr>
          <w:rFonts w:ascii="Google Sans" w:eastAsia="Google Sans" w:hAnsi="Google Sans" w:cs="Google Sans"/>
        </w:rPr>
        <w:t>.</w:t>
      </w:r>
    </w:p>
    <w:p w14:paraId="569E80E3"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c) </w:t>
      </w:r>
      <w:r>
        <w:rPr>
          <w:rFonts w:ascii="Google Sans" w:eastAsia="Google Sans" w:hAnsi="Google Sans" w:cs="Google Sans"/>
          <w:b/>
          <w:bCs/>
        </w:rPr>
        <w:t>Promover una convivencia segura y digna</w:t>
      </w:r>
      <w:r>
        <w:rPr>
          <w:rFonts w:ascii="Google Sans" w:eastAsia="Google Sans" w:hAnsi="Google Sans" w:cs="Google Sans"/>
        </w:rPr>
        <w:t>, absteniéndose de participar, tolerar u ocultar actos de acoso, discriminación, matoneo o violencia motivados por cualquier condición.</w:t>
      </w:r>
    </w:p>
    <w:p w14:paraId="19C355EA"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d) </w:t>
      </w:r>
      <w:r>
        <w:rPr>
          <w:rFonts w:ascii="Google Sans" w:eastAsia="Google Sans" w:hAnsi="Google Sans" w:cs="Google Sans"/>
          <w:b/>
          <w:bCs/>
        </w:rPr>
        <w:t>Acoger y cumplir las normas institucionales</w:t>
      </w:r>
      <w:r>
        <w:rPr>
          <w:rFonts w:ascii="Google Sans" w:eastAsia="Google Sans" w:hAnsi="Google Sans" w:cs="Google Sans"/>
        </w:rPr>
        <w:t xml:space="preserve"> establecidas en el PEI, el Código de Ética y los reglamentos académicos de la UNAB.</w:t>
      </w:r>
    </w:p>
    <w:p w14:paraId="75C3B67D"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e) </w:t>
      </w:r>
      <w:r>
        <w:rPr>
          <w:rFonts w:ascii="Google Sans" w:eastAsia="Google Sans" w:hAnsi="Google Sans" w:cs="Google Sans"/>
          <w:b/>
          <w:bCs/>
        </w:rPr>
        <w:t>Ejercer la responsabilidad social y ambiental</w:t>
      </w:r>
      <w:r>
        <w:rPr>
          <w:rFonts w:ascii="Google Sans" w:eastAsia="Google Sans" w:hAnsi="Google Sans" w:cs="Google Sans"/>
        </w:rPr>
        <w:t>, comprendiendo que la formación en marketing implica un compromiso con la sostenibilidad y el respeto por el consumidor y la comunidad.</w:t>
      </w:r>
    </w:p>
    <w:p w14:paraId="703CDA5C" w14:textId="77777777" w:rsidR="005B042A" w:rsidRDefault="0072378B">
      <w:pPr>
        <w:pStyle w:val="Ttulo2"/>
        <w:keepNext w:val="0"/>
        <w:keepLines w:val="0"/>
        <w:widowControl w:val="0"/>
        <w:spacing w:before="0" w:after="320" w:line="240" w:lineRule="auto"/>
        <w:jc w:val="both"/>
        <w:rPr>
          <w:rFonts w:ascii="Google Sans" w:eastAsia="Google Sans" w:hAnsi="Google Sans" w:cs="Google Sans"/>
          <w:b/>
          <w:bCs/>
          <w:color w:val="0000EE"/>
          <w:sz w:val="36"/>
          <w:szCs w:val="36"/>
        </w:rPr>
      </w:pPr>
      <w:r>
        <w:rPr>
          <w:rFonts w:ascii="Google Sans" w:eastAsia="Google Sans" w:hAnsi="Google Sans" w:cs="Google Sans"/>
          <w:b/>
          <w:bCs/>
          <w:color w:val="0000EE"/>
          <w:sz w:val="36"/>
          <w:szCs w:val="36"/>
        </w:rPr>
        <w:t>9. Uso de Inteligencia Artificial - IA</w:t>
      </w:r>
    </w:p>
    <w:p w14:paraId="6991EC7D"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Este curso acoge los lineamientos institucionales de la UNAB para el uso de la IA (disponibles en </w:t>
      </w:r>
      <w:hyperlink r:id="rId6">
        <w:r>
          <w:rPr>
            <w:rFonts w:ascii="Google Sans" w:eastAsia="Google Sans" w:hAnsi="Google Sans" w:cs="Google Sans"/>
            <w:color w:val="0000EE"/>
            <w:u w:val="single"/>
          </w:rPr>
          <w:t>UNAB Digital IA</w:t>
        </w:r>
      </w:hyperlink>
      <w:r>
        <w:rPr>
          <w:rFonts w:ascii="Google Sans" w:eastAsia="Google Sans" w:hAnsi="Google Sans" w:cs="Google Sans"/>
        </w:rPr>
        <w:t>).</w:t>
      </w:r>
    </w:p>
    <w:p w14:paraId="1E2A54FF" w14:textId="77777777" w:rsidR="005B042A" w:rsidRDefault="0072378B">
      <w:pPr>
        <w:pStyle w:val="Ttulo3"/>
        <w:keepNext w:val="0"/>
        <w:keepLines w:val="0"/>
        <w:widowControl w:val="0"/>
        <w:spacing w:before="0" w:after="320" w:line="240" w:lineRule="auto"/>
        <w:jc w:val="both"/>
        <w:rPr>
          <w:rFonts w:ascii="Google Sans" w:eastAsia="Google Sans" w:hAnsi="Google Sans" w:cs="Google Sans"/>
          <w:b/>
          <w:bCs/>
          <w:color w:val="000000"/>
        </w:rPr>
      </w:pPr>
      <w:r>
        <w:rPr>
          <w:rFonts w:ascii="Google Sans" w:eastAsia="Google Sans" w:hAnsi="Google Sans" w:cs="Google Sans"/>
          <w:b/>
          <w:bCs/>
          <w:color w:val="000000"/>
        </w:rPr>
        <w:t>Declaración de Uso de IA en el Curso:</w:t>
      </w:r>
    </w:p>
    <w:p w14:paraId="590B8F74"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 xml:space="preserve">En </w:t>
      </w:r>
      <w:r>
        <w:rPr>
          <w:rFonts w:ascii="Google Sans" w:eastAsia="Google Sans" w:hAnsi="Google Sans" w:cs="Google Sans"/>
          <w:b/>
          <w:bCs/>
        </w:rPr>
        <w:t>Derecho Comercial</w:t>
      </w:r>
      <w:r>
        <w:rPr>
          <w:rFonts w:ascii="Google Sans" w:eastAsia="Google Sans" w:hAnsi="Google Sans" w:cs="Google Sans"/>
        </w:rPr>
        <w:t xml:space="preserve">, se permite e </w:t>
      </w:r>
      <w:proofErr w:type="spellStart"/>
      <w:r>
        <w:rPr>
          <w:rFonts w:ascii="Google Sans" w:eastAsia="Google Sans" w:hAnsi="Google Sans" w:cs="Google Sans"/>
        </w:rPr>
        <w:t>incentiva</w:t>
      </w:r>
      <w:proofErr w:type="spellEnd"/>
      <w:r>
        <w:rPr>
          <w:rFonts w:ascii="Google Sans" w:eastAsia="Google Sans" w:hAnsi="Google Sans" w:cs="Google Sans"/>
        </w:rPr>
        <w:t xml:space="preserve"> el uso de herramientas de Inteligencia Artificial Generativa (</w:t>
      </w:r>
      <w:proofErr w:type="spellStart"/>
      <w:r>
        <w:rPr>
          <w:rFonts w:ascii="Google Sans" w:eastAsia="Google Sans" w:hAnsi="Google Sans" w:cs="Google Sans"/>
        </w:rPr>
        <w:t>ChatGPT</w:t>
      </w:r>
      <w:proofErr w:type="spellEnd"/>
      <w:r>
        <w:rPr>
          <w:rFonts w:ascii="Google Sans" w:eastAsia="Google Sans" w:hAnsi="Google Sans" w:cs="Google Sans"/>
        </w:rPr>
        <w:t xml:space="preserve">, Claude, JUNO, </w:t>
      </w:r>
      <w:proofErr w:type="spellStart"/>
      <w:r>
        <w:rPr>
          <w:rFonts w:ascii="Google Sans" w:eastAsia="Google Sans" w:hAnsi="Google Sans" w:cs="Google Sans"/>
        </w:rPr>
        <w:t>Copilot</w:t>
      </w:r>
      <w:proofErr w:type="spellEnd"/>
      <w:r>
        <w:rPr>
          <w:rFonts w:ascii="Google Sans" w:eastAsia="Google Sans" w:hAnsi="Google Sans" w:cs="Google Sans"/>
        </w:rPr>
        <w:t xml:space="preserve">, </w:t>
      </w:r>
      <w:proofErr w:type="spellStart"/>
      <w:r>
        <w:rPr>
          <w:rFonts w:ascii="Google Sans" w:eastAsia="Google Sans" w:hAnsi="Google Sans" w:cs="Google Sans"/>
        </w:rPr>
        <w:t>Perplexity</w:t>
      </w:r>
      <w:proofErr w:type="spellEnd"/>
      <w:r>
        <w:rPr>
          <w:rFonts w:ascii="Google Sans" w:eastAsia="Google Sans" w:hAnsi="Google Sans" w:cs="Google Sans"/>
        </w:rPr>
        <w:t>, entre otras) para:</w:t>
      </w:r>
    </w:p>
    <w:p w14:paraId="2B8B46A9" w14:textId="77777777" w:rsidR="005B042A" w:rsidRDefault="0072378B">
      <w:pPr>
        <w:widowControl w:val="0"/>
        <w:numPr>
          <w:ilvl w:val="0"/>
          <w:numId w:val="1"/>
        </w:numPr>
        <w:spacing w:line="240" w:lineRule="auto"/>
        <w:jc w:val="both"/>
      </w:pPr>
      <w:r>
        <w:rPr>
          <w:rFonts w:ascii="Google Sans" w:eastAsia="Google Sans" w:hAnsi="Google Sans" w:cs="Google Sans"/>
        </w:rPr>
        <w:t>Realizar ejercicios de ideación, simulación de casos de estudio y resúmenes normativos.</w:t>
      </w:r>
    </w:p>
    <w:p w14:paraId="19227BFE" w14:textId="77777777" w:rsidR="005B042A" w:rsidRDefault="0072378B">
      <w:pPr>
        <w:widowControl w:val="0"/>
        <w:numPr>
          <w:ilvl w:val="0"/>
          <w:numId w:val="1"/>
        </w:numPr>
        <w:spacing w:line="240" w:lineRule="auto"/>
        <w:jc w:val="both"/>
      </w:pPr>
      <w:r>
        <w:rPr>
          <w:rFonts w:ascii="Google Sans" w:eastAsia="Google Sans" w:hAnsi="Google Sans" w:cs="Google Sans"/>
        </w:rPr>
        <w:t>Practicar la redacción preliminar de cláusulas o borradores de contratos comerciales.</w:t>
      </w:r>
    </w:p>
    <w:p w14:paraId="5AFB7465" w14:textId="77777777" w:rsidR="005B042A" w:rsidRDefault="0072378B">
      <w:pPr>
        <w:widowControl w:val="0"/>
        <w:numPr>
          <w:ilvl w:val="0"/>
          <w:numId w:val="1"/>
        </w:numPr>
        <w:spacing w:line="240" w:lineRule="auto"/>
        <w:jc w:val="both"/>
      </w:pPr>
      <w:r>
        <w:rPr>
          <w:rFonts w:ascii="Google Sans" w:eastAsia="Google Sans" w:hAnsi="Google Sans" w:cs="Google Sans"/>
        </w:rPr>
        <w:t>Revisar la coherencia lógica de las argumentaciones jurídicas planteadas.</w:t>
      </w:r>
    </w:p>
    <w:p w14:paraId="7BAD3E93" w14:textId="77777777" w:rsidR="005B042A" w:rsidRDefault="0072378B">
      <w:pPr>
        <w:pStyle w:val="Ttulo3"/>
        <w:keepNext w:val="0"/>
        <w:keepLines w:val="0"/>
        <w:widowControl w:val="0"/>
        <w:spacing w:before="240" w:after="240" w:line="240" w:lineRule="auto"/>
        <w:jc w:val="both"/>
        <w:rPr>
          <w:rFonts w:ascii="Google Sans" w:eastAsia="Google Sans" w:hAnsi="Google Sans" w:cs="Google Sans"/>
          <w:b/>
          <w:bCs/>
          <w:color w:val="000000"/>
        </w:rPr>
      </w:pPr>
      <w:r>
        <w:rPr>
          <w:rFonts w:ascii="Google Sans" w:eastAsia="Google Sans" w:hAnsi="Google Sans" w:cs="Google Sans"/>
          <w:b/>
          <w:bCs/>
          <w:color w:val="000000"/>
        </w:rPr>
        <w:t>Condiciones Obligatorias:</w:t>
      </w:r>
    </w:p>
    <w:p w14:paraId="40467F38" w14:textId="77777777" w:rsidR="005B042A" w:rsidRDefault="0072378B">
      <w:pPr>
        <w:widowControl w:val="0"/>
        <w:numPr>
          <w:ilvl w:val="0"/>
          <w:numId w:val="8"/>
        </w:numPr>
        <w:spacing w:line="240" w:lineRule="auto"/>
        <w:jc w:val="both"/>
      </w:pPr>
      <w:r>
        <w:rPr>
          <w:rFonts w:ascii="Google Sans" w:eastAsia="Google Sans" w:hAnsi="Google Sans" w:cs="Google Sans"/>
          <w:b/>
          <w:bCs/>
        </w:rPr>
        <w:t>Alineación al juicio humano:</w:t>
      </w:r>
      <w:r>
        <w:rPr>
          <w:rFonts w:ascii="Google Sans" w:eastAsia="Google Sans" w:hAnsi="Google Sans" w:cs="Google Sans"/>
        </w:rPr>
        <w:t xml:space="preserve"> Los resultados entregados por las IA contienen con frecuencia </w:t>
      </w:r>
      <w:proofErr w:type="spellStart"/>
      <w:r>
        <w:rPr>
          <w:rFonts w:ascii="Google Sans" w:eastAsia="Google Sans" w:hAnsi="Google Sans" w:cs="Google Sans"/>
        </w:rPr>
        <w:t>halucinaciones</w:t>
      </w:r>
      <w:proofErr w:type="spellEnd"/>
      <w:r>
        <w:rPr>
          <w:rFonts w:ascii="Google Sans" w:eastAsia="Google Sans" w:hAnsi="Google Sans" w:cs="Google Sans"/>
        </w:rPr>
        <w:t xml:space="preserve"> (sesgos o inventivas de artículos/normas inexistentes). Es responsabilidad ineludible del estudiante contrastar toda información con las leyes colombianas y fuentes oficiales (Corte Constitucional, SIC, Consejo de Estado).</w:t>
      </w:r>
    </w:p>
    <w:p w14:paraId="6B8B5DE2" w14:textId="77777777" w:rsidR="005B042A" w:rsidRDefault="0072378B">
      <w:pPr>
        <w:widowControl w:val="0"/>
        <w:numPr>
          <w:ilvl w:val="0"/>
          <w:numId w:val="8"/>
        </w:numPr>
        <w:spacing w:line="240" w:lineRule="auto"/>
        <w:jc w:val="both"/>
      </w:pPr>
      <w:r>
        <w:rPr>
          <w:rFonts w:ascii="Google Sans" w:eastAsia="Google Sans" w:hAnsi="Google Sans" w:cs="Google Sans"/>
          <w:b/>
          <w:bCs/>
        </w:rPr>
        <w:t>Declaración Obligatoria:</w:t>
      </w:r>
      <w:r>
        <w:rPr>
          <w:rFonts w:ascii="Google Sans" w:eastAsia="Google Sans" w:hAnsi="Google Sans" w:cs="Google Sans"/>
        </w:rPr>
        <w:t xml:space="preserve"> Todo entregable donde se haya utilizado IA debe incluir un </w:t>
      </w:r>
      <w:r>
        <w:rPr>
          <w:rFonts w:ascii="Google Sans" w:eastAsia="Google Sans" w:hAnsi="Google Sans" w:cs="Google Sans"/>
          <w:b/>
          <w:bCs/>
        </w:rPr>
        <w:t>Anexo de Transparencia Tecnológica</w:t>
      </w:r>
      <w:r>
        <w:rPr>
          <w:rFonts w:ascii="Google Sans" w:eastAsia="Google Sans" w:hAnsi="Google Sans" w:cs="Google Sans"/>
        </w:rPr>
        <w:t xml:space="preserve"> especificando:</w:t>
      </w:r>
    </w:p>
    <w:p w14:paraId="5C9D9F6F" w14:textId="77777777" w:rsidR="005B042A" w:rsidRDefault="0072378B">
      <w:pPr>
        <w:widowControl w:val="0"/>
        <w:numPr>
          <w:ilvl w:val="1"/>
          <w:numId w:val="2"/>
        </w:numPr>
        <w:spacing w:line="240" w:lineRule="auto"/>
        <w:jc w:val="both"/>
      </w:pPr>
      <w:r>
        <w:rPr>
          <w:rFonts w:ascii="Google Sans" w:eastAsia="Google Sans" w:hAnsi="Google Sans" w:cs="Google Sans"/>
        </w:rPr>
        <w:t>Herramienta(s) y versión utilizada.</w:t>
      </w:r>
    </w:p>
    <w:p w14:paraId="25FA5ABD" w14:textId="77777777" w:rsidR="005B042A" w:rsidRDefault="0072378B">
      <w:pPr>
        <w:widowControl w:val="0"/>
        <w:numPr>
          <w:ilvl w:val="1"/>
          <w:numId w:val="2"/>
        </w:numPr>
        <w:spacing w:line="240" w:lineRule="auto"/>
        <w:jc w:val="both"/>
      </w:pPr>
      <w:proofErr w:type="spellStart"/>
      <w:r>
        <w:rPr>
          <w:rFonts w:ascii="Google Sans" w:eastAsia="Google Sans" w:hAnsi="Google Sans" w:cs="Google Sans"/>
          <w:i/>
          <w:iCs/>
        </w:rPr>
        <w:t>Prompts</w:t>
      </w:r>
      <w:proofErr w:type="spellEnd"/>
      <w:r>
        <w:rPr>
          <w:rFonts w:ascii="Google Sans" w:eastAsia="Google Sans" w:hAnsi="Google Sans" w:cs="Google Sans"/>
        </w:rPr>
        <w:t xml:space="preserve"> (instrucciones) ingresados.</w:t>
      </w:r>
    </w:p>
    <w:p w14:paraId="1077D057" w14:textId="77777777" w:rsidR="005B042A" w:rsidRDefault="0072378B">
      <w:pPr>
        <w:widowControl w:val="0"/>
        <w:numPr>
          <w:ilvl w:val="1"/>
          <w:numId w:val="2"/>
        </w:numPr>
        <w:spacing w:line="240" w:lineRule="auto"/>
        <w:jc w:val="both"/>
      </w:pPr>
      <w:r>
        <w:rPr>
          <w:rFonts w:ascii="Google Sans" w:eastAsia="Google Sans" w:hAnsi="Google Sans" w:cs="Google Sans"/>
        </w:rPr>
        <w:t>Momentos o fases del trabajo donde se aplicó.</w:t>
      </w:r>
    </w:p>
    <w:p w14:paraId="5F805E9D" w14:textId="77777777" w:rsidR="005B042A" w:rsidRDefault="0072378B">
      <w:pPr>
        <w:widowControl w:val="0"/>
        <w:numPr>
          <w:ilvl w:val="1"/>
          <w:numId w:val="2"/>
        </w:numPr>
        <w:spacing w:line="240" w:lineRule="auto"/>
        <w:jc w:val="both"/>
      </w:pPr>
      <w:r>
        <w:rPr>
          <w:rFonts w:ascii="Google Sans" w:eastAsia="Google Sans" w:hAnsi="Google Sans" w:cs="Google Sans"/>
        </w:rPr>
        <w:t>Aportes propios del estudiante (validación de fuentes, edición crítica, análisis propio y decisiones tomadas).</w:t>
      </w:r>
    </w:p>
    <w:p w14:paraId="5ABA920A" w14:textId="77777777" w:rsidR="005B042A" w:rsidRDefault="0072378B">
      <w:pPr>
        <w:pStyle w:val="Ttulo2"/>
        <w:keepNext w:val="0"/>
        <w:keepLines w:val="0"/>
        <w:widowControl w:val="0"/>
        <w:spacing w:before="225" w:after="320" w:line="240" w:lineRule="auto"/>
        <w:jc w:val="both"/>
        <w:rPr>
          <w:rFonts w:ascii="Google Sans" w:eastAsia="Google Sans" w:hAnsi="Google Sans" w:cs="Google Sans"/>
          <w:b/>
          <w:bCs/>
          <w:sz w:val="36"/>
          <w:szCs w:val="36"/>
        </w:rPr>
      </w:pPr>
      <w:r>
        <w:rPr>
          <w:rFonts w:ascii="Google Sans" w:eastAsia="Google Sans" w:hAnsi="Google Sans" w:cs="Google Sans"/>
          <w:b/>
          <w:bCs/>
          <w:sz w:val="36"/>
          <w:szCs w:val="36"/>
        </w:rPr>
        <w:t>Nota Final: Apoyo y Servicios de Éxito Estudiantil</w:t>
      </w:r>
    </w:p>
    <w:p w14:paraId="42815DC7" w14:textId="77777777" w:rsidR="005B042A" w:rsidRDefault="0072378B">
      <w:pPr>
        <w:widowControl w:val="0"/>
        <w:spacing w:after="320" w:line="240" w:lineRule="auto"/>
        <w:jc w:val="both"/>
        <w:rPr>
          <w:rFonts w:ascii="Google Sans" w:eastAsia="Google Sans" w:hAnsi="Google Sans" w:cs="Google Sans"/>
        </w:rPr>
      </w:pPr>
      <w:r>
        <w:rPr>
          <w:rFonts w:ascii="Google Sans" w:eastAsia="Google Sans" w:hAnsi="Google Sans" w:cs="Google Sans"/>
        </w:rPr>
        <w:t>A continuación, encontrarás información relevante sobre el apoyo y servicios de la Dirección de Éxito Estudiantil:</w:t>
      </w:r>
    </w:p>
    <w:p w14:paraId="77F77474" w14:textId="77777777" w:rsidR="005B042A" w:rsidRDefault="0072378B">
      <w:pPr>
        <w:widowControl w:val="0"/>
        <w:numPr>
          <w:ilvl w:val="0"/>
          <w:numId w:val="7"/>
        </w:numPr>
        <w:spacing w:line="240" w:lineRule="auto"/>
        <w:jc w:val="both"/>
      </w:pPr>
      <w:r>
        <w:rPr>
          <w:rFonts w:ascii="Google Sans" w:eastAsia="Google Sans" w:hAnsi="Google Sans" w:cs="Google Sans"/>
          <w:b/>
          <w:bCs/>
        </w:rPr>
        <w:t>Programa de Mentoría para el Éxito y la Trayectoria Académica (META):</w:t>
      </w:r>
      <w:r>
        <w:rPr>
          <w:rFonts w:ascii="Google Sans" w:eastAsia="Google Sans" w:hAnsi="Google Sans" w:cs="Google Sans"/>
        </w:rPr>
        <w:t xml:space="preserve"> Podrás recibir mentoría personalizada, identificar oportunidades de mejora en tu proceso académico y construir rutas de acción para fortalecer tu desempeño y bienestar socioemocional.</w:t>
      </w:r>
      <w:r>
        <w:br/>
      </w:r>
      <w:r>
        <w:rPr>
          <w:rFonts w:ascii="Google Sans" w:eastAsia="Google Sans" w:hAnsi="Google Sans" w:cs="Google Sans"/>
          <w:i/>
          <w:iCs/>
        </w:rPr>
        <w:t>Contacto:</w:t>
      </w:r>
      <w:r>
        <w:rPr>
          <w:rFonts w:ascii="Google Sans" w:eastAsia="Google Sans" w:hAnsi="Google Sans" w:cs="Google Sans"/>
        </w:rPr>
        <w:t xml:space="preserve"> meta_dexe@unab.edu.co</w:t>
      </w:r>
    </w:p>
    <w:p w14:paraId="6B3B8C2F" w14:textId="77777777" w:rsidR="005B042A" w:rsidRDefault="0072378B">
      <w:pPr>
        <w:widowControl w:val="0"/>
        <w:numPr>
          <w:ilvl w:val="0"/>
          <w:numId w:val="7"/>
        </w:numPr>
        <w:spacing w:line="240" w:lineRule="auto"/>
        <w:jc w:val="both"/>
      </w:pPr>
      <w:r>
        <w:rPr>
          <w:rFonts w:ascii="Google Sans" w:eastAsia="Google Sans" w:hAnsi="Google Sans" w:cs="Google Sans"/>
          <w:b/>
          <w:bCs/>
        </w:rPr>
        <w:t>Monitorias y Talleres de Estrategias de Aprendizaje:</w:t>
      </w:r>
      <w:r>
        <w:rPr>
          <w:rFonts w:ascii="Google Sans" w:eastAsia="Google Sans" w:hAnsi="Google Sans" w:cs="Google Sans"/>
        </w:rPr>
        <w:t xml:space="preserve"> Orientados a mejorar hábitos de estudio, gestión del tiempo, preparación de evaluaciones, comprensión lectora y organización del trabajo académico.</w:t>
      </w:r>
      <w:r>
        <w:br/>
      </w:r>
      <w:r>
        <w:rPr>
          <w:rFonts w:ascii="Google Sans" w:eastAsia="Google Sans" w:hAnsi="Google Sans" w:cs="Google Sans"/>
          <w:i/>
          <w:iCs/>
        </w:rPr>
        <w:t>Contacto:</w:t>
      </w:r>
      <w:r>
        <w:rPr>
          <w:rFonts w:ascii="Google Sans" w:eastAsia="Google Sans" w:hAnsi="Google Sans" w:cs="Google Sans"/>
        </w:rPr>
        <w:t xml:space="preserve"> apoyoacademico_dexe@unab.edu.co</w:t>
      </w:r>
    </w:p>
    <w:p w14:paraId="667DE5A0" w14:textId="77777777" w:rsidR="005B042A" w:rsidRDefault="0072378B">
      <w:pPr>
        <w:widowControl w:val="0"/>
        <w:numPr>
          <w:ilvl w:val="0"/>
          <w:numId w:val="7"/>
        </w:numPr>
        <w:spacing w:line="240" w:lineRule="auto"/>
        <w:jc w:val="both"/>
      </w:pPr>
      <w:r>
        <w:rPr>
          <w:rFonts w:ascii="Google Sans" w:eastAsia="Google Sans" w:hAnsi="Google Sans" w:cs="Google Sans"/>
          <w:b/>
          <w:bCs/>
        </w:rPr>
        <w:t xml:space="preserve">Programa </w:t>
      </w:r>
      <w:proofErr w:type="spellStart"/>
      <w:r>
        <w:rPr>
          <w:rFonts w:ascii="Google Sans" w:eastAsia="Google Sans" w:hAnsi="Google Sans" w:cs="Google Sans"/>
          <w:b/>
          <w:bCs/>
        </w:rPr>
        <w:t>EntreSeres</w:t>
      </w:r>
      <w:proofErr w:type="spellEnd"/>
      <w:r>
        <w:rPr>
          <w:rFonts w:ascii="Google Sans" w:eastAsia="Google Sans" w:hAnsi="Google Sans" w:cs="Google Sans"/>
          <w:b/>
          <w:bCs/>
        </w:rPr>
        <w:t xml:space="preserve"> (Bienestar Universitario):</w:t>
      </w:r>
      <w:r>
        <w:rPr>
          <w:rFonts w:ascii="Google Sans" w:eastAsia="Google Sans" w:hAnsi="Google Sans" w:cs="Google Sans"/>
        </w:rPr>
        <w:t xml:space="preserve"> Acompañamiento y orientación para personas con discapacidad, víctimas del conflicto armado, comunidades étnicas, diversas o poblaciones de especial protección constitucional.</w:t>
      </w:r>
      <w:r>
        <w:br/>
      </w:r>
      <w:r>
        <w:rPr>
          <w:rFonts w:ascii="Google Sans" w:eastAsia="Google Sans" w:hAnsi="Google Sans" w:cs="Google Sans"/>
          <w:i/>
          <w:iCs/>
        </w:rPr>
        <w:t>Contacto:</w:t>
      </w:r>
      <w:r>
        <w:rPr>
          <w:rFonts w:ascii="Google Sans" w:eastAsia="Google Sans" w:hAnsi="Google Sans" w:cs="Google Sans"/>
        </w:rPr>
        <w:t xml:space="preserve"> entreseres@unab.edu.co | Teléfono: (607) 643 6111, ext. 2211 | Presencial: Oficina de Bienestar Universitario, Centro de Servicios Universitarios (CSU).</w:t>
      </w:r>
    </w:p>
    <w:p w14:paraId="06DF2364" w14:textId="77777777" w:rsidR="005B042A" w:rsidRDefault="0072378B">
      <w:pPr>
        <w:widowControl w:val="0"/>
        <w:jc w:val="both"/>
        <w:rPr>
          <w:rFonts w:ascii="Google Sans" w:eastAsia="Google Sans" w:hAnsi="Google Sans" w:cs="Google Sans"/>
        </w:rPr>
      </w:pPr>
      <w:r>
        <w:pict w14:anchorId="1B057EC0">
          <v:rect id="_x0000_i1025" style="width:0;height:1.5pt" o:hralign="center" o:hrstd="t" o:hr="t" fillcolor="#a0a0a0" stroked="f"/>
        </w:pict>
      </w:r>
    </w:p>
    <w:p w14:paraId="395D54E6" w14:textId="77777777" w:rsidR="005B042A" w:rsidRDefault="005B042A">
      <w:pPr>
        <w:widowControl w:val="0"/>
        <w:jc w:val="both"/>
        <w:rPr>
          <w:rFonts w:ascii="Google Sans" w:eastAsia="Google Sans" w:hAnsi="Google Sans" w:cs="Google Sans"/>
          <w:b/>
          <w:bCs/>
          <w:color w:val="0000EE"/>
        </w:rPr>
      </w:pPr>
    </w:p>
    <w:p w14:paraId="4C8EBD6B" w14:textId="77777777" w:rsidR="005B042A" w:rsidRDefault="0072378B">
      <w:pPr>
        <w:widowControl w:val="0"/>
        <w:jc w:val="both"/>
        <w:rPr>
          <w:rFonts w:ascii="Google Sans" w:eastAsia="Google Sans" w:hAnsi="Google Sans" w:cs="Google Sans"/>
          <w:b/>
          <w:bCs/>
          <w:color w:val="0000EE"/>
        </w:rPr>
      </w:pPr>
      <w:r>
        <w:rPr>
          <w:rFonts w:ascii="Google Sans" w:eastAsia="Google Sans" w:hAnsi="Google Sans" w:cs="Google Sans"/>
          <w:b/>
          <w:bCs/>
          <w:color w:val="0000EE"/>
        </w:rPr>
        <w:t>Esta Guia de Aprendizaje de la Materia DERECHO COMERCIAL para el programa de Tecnología en Marketing de la UNAB, fue realizada con la ayuda de IA. Google. GEMINI. y JUNO-UNAB.</w:t>
      </w:r>
    </w:p>
    <w:sectPr w:rsidR="005B042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ogle Sans">
    <w:charset w:val="00"/>
    <w:family w:val="auto"/>
    <w:pitch w:val="default"/>
    <w:embedRegular r:id="rId1" w:fontKey="{54E133DC-4B04-45DB-91A0-ABA34A5E86FD}"/>
    <w:embedBold r:id="rId2" w:fontKey="{D02661E1-F16A-4B28-B46C-9DC912367488}"/>
    <w:embedItalic r:id="rId3" w:fontKey="{88CD0BF5-8F82-4569-9AB7-96620CA738BC}"/>
    <w:embedBoldItalic r:id="rId4" w:fontKey="{6EC110A1-A09F-4C16-8E7D-677AD4972D47}"/>
  </w:font>
  <w:font w:name="Calibri">
    <w:panose1 w:val="020F0502020204030204"/>
    <w:charset w:val="00"/>
    <w:family w:val="swiss"/>
    <w:pitch w:val="variable"/>
    <w:sig w:usb0="E4002EFF" w:usb1="C000247B" w:usb2="00000009" w:usb3="00000000" w:csb0="000001FF" w:csb1="00000000"/>
    <w:embedRegular r:id="rId5" w:fontKey="{776D6970-520E-4FA2-BE1E-B35DD9BD68EE}"/>
  </w:font>
  <w:font w:name="Cambria">
    <w:panose1 w:val="02040503050406030204"/>
    <w:charset w:val="00"/>
    <w:family w:val="roman"/>
    <w:pitch w:val="variable"/>
    <w:sig w:usb0="E00006FF" w:usb1="420024FF" w:usb2="02000000" w:usb3="00000000" w:csb0="0000019F" w:csb1="00000000"/>
    <w:embedRegular r:id="rId6" w:fontKey="{238CD5CC-039F-479D-BD88-AE6B4E902A5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C05A3"/>
    <w:multiLevelType w:val="multilevel"/>
    <w:tmpl w:val="B79C5F2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7B7961"/>
    <w:multiLevelType w:val="multilevel"/>
    <w:tmpl w:val="C6CAB92A"/>
    <w:lvl w:ilvl="0">
      <w:start w:val="1"/>
      <w:numFmt w:val="bullet"/>
      <w:lvlText w:val="●"/>
      <w:lvlJc w:val="left"/>
      <w:pPr>
        <w:ind w:left="600" w:hanging="360"/>
      </w:pPr>
      <w:rPr>
        <w:u w:val="none"/>
      </w:rPr>
    </w:lvl>
    <w:lvl w:ilvl="1">
      <w:start w:val="1"/>
      <w:numFmt w:val="decimal"/>
      <w:lvlText w:val="%2."/>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AD2F94"/>
    <w:multiLevelType w:val="multilevel"/>
    <w:tmpl w:val="064AB138"/>
    <w:lvl w:ilvl="0">
      <w:start w:val="1"/>
      <w:numFmt w:val="bullet"/>
      <w:lvlText w:val="●"/>
      <w:lvlJc w:val="left"/>
      <w:pPr>
        <w:ind w:left="600" w:hanging="360"/>
      </w:pPr>
      <w:rPr>
        <w:u w:val="none"/>
      </w:rPr>
    </w:lvl>
    <w:lvl w:ilvl="1">
      <w:start w:val="1"/>
      <w:numFmt w:val="decimal"/>
      <w:lvlText w:val="%2."/>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D717D37"/>
    <w:multiLevelType w:val="multilevel"/>
    <w:tmpl w:val="EF565560"/>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F075383"/>
    <w:multiLevelType w:val="multilevel"/>
    <w:tmpl w:val="3CBA1510"/>
    <w:lvl w:ilvl="0">
      <w:start w:val="1"/>
      <w:numFmt w:val="bullet"/>
      <w:lvlText w:val="●"/>
      <w:lvlJc w:val="left"/>
      <w:pPr>
        <w:ind w:left="600" w:hanging="360"/>
      </w:pPr>
      <w:rPr>
        <w:u w:val="none"/>
      </w:rPr>
    </w:lvl>
    <w:lvl w:ilvl="1">
      <w:start w:val="1"/>
      <w:numFmt w:val="decimal"/>
      <w:lvlText w:val="%2."/>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6F04484"/>
    <w:multiLevelType w:val="multilevel"/>
    <w:tmpl w:val="8B7EF24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2BF5AB9"/>
    <w:multiLevelType w:val="multilevel"/>
    <w:tmpl w:val="594896D0"/>
    <w:lvl w:ilvl="0">
      <w:start w:val="1"/>
      <w:numFmt w:val="bullet"/>
      <w:lvlText w:val="●"/>
      <w:lvlJc w:val="left"/>
      <w:pPr>
        <w:ind w:left="600" w:hanging="360"/>
      </w:pPr>
      <w:rPr>
        <w:u w:val="none"/>
      </w:rPr>
    </w:lvl>
    <w:lvl w:ilvl="1">
      <w:start w:val="1"/>
      <w:numFmt w:val="decimal"/>
      <w:lvlText w:val="%2."/>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8470118"/>
    <w:multiLevelType w:val="multilevel"/>
    <w:tmpl w:val="50682442"/>
    <w:lvl w:ilvl="0">
      <w:start w:val="1"/>
      <w:numFmt w:val="bullet"/>
      <w:lvlText w:val="●"/>
      <w:lvlJc w:val="left"/>
      <w:pPr>
        <w:ind w:left="600" w:hanging="360"/>
      </w:pPr>
      <w:rPr>
        <w:u w:val="none"/>
      </w:rPr>
    </w:lvl>
    <w:lvl w:ilvl="1">
      <w:start w:val="1"/>
      <w:numFmt w:val="bullet"/>
      <w:lvlText w:val="○"/>
      <w:lvlJc w:val="left"/>
      <w:pPr>
        <w:ind w:left="120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523597">
    <w:abstractNumId w:val="5"/>
  </w:num>
  <w:num w:numId="2" w16cid:durableId="702288231">
    <w:abstractNumId w:val="2"/>
  </w:num>
  <w:num w:numId="3" w16cid:durableId="1382753949">
    <w:abstractNumId w:val="6"/>
  </w:num>
  <w:num w:numId="4" w16cid:durableId="821581183">
    <w:abstractNumId w:val="3"/>
  </w:num>
  <w:num w:numId="5" w16cid:durableId="393435001">
    <w:abstractNumId w:val="4"/>
  </w:num>
  <w:num w:numId="6" w16cid:durableId="11347559">
    <w:abstractNumId w:val="7"/>
  </w:num>
  <w:num w:numId="7" w16cid:durableId="460148118">
    <w:abstractNumId w:val="0"/>
  </w:num>
  <w:num w:numId="8" w16cid:durableId="1352104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42A"/>
    <w:rsid w:val="00367540"/>
    <w:rsid w:val="003F1E2C"/>
    <w:rsid w:val="005B04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00D72"/>
  <w15:docId w15:val="{D72D5168-4AF9-480E-8CE1-3A9867A5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419"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abdigital.unab.edu.co/landing-ia.html" TargetMode="External"/><Relationship Id="rId5" Type="http://schemas.openxmlformats.org/officeDocument/2006/relationships/hyperlink" Target="https://unabdigital.unab.edu.co/openLearnin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2458</Words>
  <Characters>13520</Characters>
  <Application>Microsoft Office Word</Application>
  <DocSecurity>0</DocSecurity>
  <Lines>112</Lines>
  <Paragraphs>31</Paragraphs>
  <ScaleCrop>false</ScaleCrop>
  <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Alvaro</dc:creator>
  <cp:lastModifiedBy>Alvaro Rueda Ardila</cp:lastModifiedBy>
  <cp:revision>2</cp:revision>
  <dcterms:created xsi:type="dcterms:W3CDTF">2026-07-31T14:43:00Z</dcterms:created>
  <dcterms:modified xsi:type="dcterms:W3CDTF">2026-07-31T14:43:00Z</dcterms:modified>
</cp:coreProperties>
</file>